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F46" w:rsidRPr="00862F46" w:rsidRDefault="00862F46" w:rsidP="00862F46">
      <w:pPr>
        <w:jc w:val="center"/>
        <w:rPr>
          <w:b/>
          <w:sz w:val="28"/>
          <w:szCs w:val="28"/>
        </w:rPr>
      </w:pPr>
      <w:r w:rsidRPr="00862F46">
        <w:rPr>
          <w:b/>
          <w:sz w:val="28"/>
          <w:szCs w:val="28"/>
        </w:rPr>
        <w:t>1.</w:t>
      </w:r>
    </w:p>
    <w:p w:rsidR="00AE46E5" w:rsidRDefault="00862F46" w:rsidP="00862F46">
      <w:pPr>
        <w:jc w:val="center"/>
        <w:rPr>
          <w:b/>
          <w:sz w:val="28"/>
          <w:szCs w:val="28"/>
          <w:u w:val="single"/>
        </w:rPr>
      </w:pPr>
      <w:r w:rsidRPr="00862F46">
        <w:rPr>
          <w:b/>
          <w:sz w:val="28"/>
          <w:szCs w:val="28"/>
          <w:u w:val="single"/>
        </w:rPr>
        <w:t>UVOD U FIZIOLOGIJU – STANICA</w:t>
      </w:r>
    </w:p>
    <w:p w:rsidR="00862F46" w:rsidRDefault="00862F46" w:rsidP="00862F46">
      <w:pPr>
        <w:jc w:val="center"/>
        <w:rPr>
          <w:b/>
          <w:sz w:val="28"/>
          <w:szCs w:val="28"/>
          <w:u w:val="single"/>
        </w:rPr>
      </w:pPr>
    </w:p>
    <w:p w:rsidR="00AF3365" w:rsidRDefault="00AF3365" w:rsidP="00862F46">
      <w:pPr>
        <w:pStyle w:val="NoSpacing"/>
      </w:pPr>
      <w:r>
        <w:t xml:space="preserve">STANICA </w:t>
      </w:r>
      <w:r w:rsidR="00343572">
        <w:t>(75-100 bilijuna):</w:t>
      </w:r>
    </w:p>
    <w:p w:rsidR="00AF3365" w:rsidRDefault="00AF3365" w:rsidP="00205496">
      <w:pPr>
        <w:pStyle w:val="NoSpacing"/>
        <w:numPr>
          <w:ilvl w:val="0"/>
          <w:numId w:val="1"/>
        </w:numPr>
        <w:jc w:val="both"/>
      </w:pPr>
      <w:r>
        <w:t xml:space="preserve">posebno prilagođena za obavljanje neke odrežene funkcije; </w:t>
      </w:r>
    </w:p>
    <w:p w:rsidR="00AF3365" w:rsidRDefault="00AF3365" w:rsidP="00205496">
      <w:pPr>
        <w:pStyle w:val="NoSpacing"/>
        <w:numPr>
          <w:ilvl w:val="0"/>
          <w:numId w:val="1"/>
        </w:numPr>
        <w:jc w:val="both"/>
      </w:pPr>
      <w:r>
        <w:t>u svim stanicama kisik se spaja sa ugljikohidratima, mastima i bjelančevinama, pri čemu se oslobađa energija potrebna za stanične funkcije;</w:t>
      </w:r>
    </w:p>
    <w:p w:rsidR="00862F46" w:rsidRDefault="00AF3365" w:rsidP="00205496">
      <w:pPr>
        <w:pStyle w:val="NoSpacing"/>
        <w:numPr>
          <w:ilvl w:val="0"/>
          <w:numId w:val="1"/>
        </w:numPr>
        <w:jc w:val="both"/>
      </w:pPr>
      <w:r>
        <w:t>sve stanice otpuštaju svoje konačne proizvode u okolnu tekućinu</w:t>
      </w:r>
    </w:p>
    <w:p w:rsidR="00AF3365" w:rsidRDefault="00AF3365" w:rsidP="00205496">
      <w:pPr>
        <w:pStyle w:val="NoSpacing"/>
        <w:numPr>
          <w:ilvl w:val="0"/>
          <w:numId w:val="1"/>
        </w:numPr>
        <w:jc w:val="both"/>
      </w:pPr>
      <w:r>
        <w:t>gotovo sve se mogu razmnožavati – ako se stanice određene vrste unište, preostale će se dijeliti dok se njihov broj ne poveća</w:t>
      </w:r>
    </w:p>
    <w:p w:rsidR="00AF3365" w:rsidRDefault="00AF3365" w:rsidP="00205496">
      <w:pPr>
        <w:pStyle w:val="NoSpacing"/>
        <w:jc w:val="both"/>
      </w:pPr>
    </w:p>
    <w:p w:rsidR="00AF3365" w:rsidRDefault="00AF3365" w:rsidP="00205496">
      <w:pPr>
        <w:pStyle w:val="NoSpacing"/>
        <w:jc w:val="both"/>
      </w:pPr>
      <w:r>
        <w:t xml:space="preserve">STANIČNA (intracelularna) TEKUĆINA </w:t>
      </w:r>
      <w:r>
        <w:sym w:font="Wingdings" w:char="F0E0"/>
      </w:r>
      <w:r>
        <w:t xml:space="preserve"> unutar stanice (2/3 tekućine); velike količine kalijevih, magnezijevih i fosfatnih iona</w:t>
      </w:r>
    </w:p>
    <w:p w:rsidR="00AF3365" w:rsidRDefault="00AF3365" w:rsidP="00AF3365">
      <w:pPr>
        <w:pStyle w:val="NoSpacing"/>
      </w:pPr>
    </w:p>
    <w:p w:rsidR="00AF3365" w:rsidRDefault="00AF3365" w:rsidP="00205496">
      <w:pPr>
        <w:pStyle w:val="NoSpacing"/>
        <w:jc w:val="both"/>
      </w:pPr>
      <w:r>
        <w:t>IZVANSTANIČNA (ekstracelularna) TEKUĆINA</w:t>
      </w:r>
      <w:r>
        <w:sym w:font="Wingdings" w:char="F0E0"/>
      </w:r>
      <w:r>
        <w:t xml:space="preserve"> u prostorima izvan stanice (1/3 tekućine);  sadži velike količine natrijevih, klornih i bikarbonatnih iona te hranjivih tvari poput kisika, glukoze, aminokiselina i masnih kiselina</w:t>
      </w:r>
      <w:r w:rsidRPr="00AF3365">
        <w:t xml:space="preserve"> </w:t>
      </w:r>
      <w:r>
        <w:t xml:space="preserve">nužnih održavanje života stanice (zato se </w:t>
      </w:r>
      <w:r w:rsidRPr="00AF3365">
        <w:t xml:space="preserve"> </w:t>
      </w:r>
      <w:r>
        <w:t xml:space="preserve">naziva unutrašnji okoliš tijela); također sadrži i ugljikov dioksid i ostale metaboličke proizvode </w:t>
      </w:r>
      <w:r w:rsidR="00205496">
        <w:t>koji se prenose u pluća ili bubrege i tako se uklanjaju.</w:t>
      </w:r>
    </w:p>
    <w:p w:rsidR="00205496" w:rsidRDefault="00205496" w:rsidP="00205496">
      <w:pPr>
        <w:pStyle w:val="NoSpacing"/>
        <w:jc w:val="both"/>
      </w:pPr>
      <w:r>
        <w:t>Prenosi se svim dijelovima tijela u 2 faze: neprekidno kruženje krvi cirkulacijskim sustavom (1) i kretanje tekućine između krvnih kapilara i stanica (2)</w:t>
      </w:r>
    </w:p>
    <w:p w:rsidR="0075301E" w:rsidRDefault="0075301E" w:rsidP="0075301E">
      <w:pPr>
        <w:pStyle w:val="NoSpacing"/>
        <w:jc w:val="both"/>
      </w:pPr>
    </w:p>
    <w:p w:rsidR="0075301E" w:rsidRDefault="0075301E" w:rsidP="0075301E">
      <w:pPr>
        <w:pStyle w:val="NoSpacing"/>
        <w:jc w:val="both"/>
      </w:pPr>
      <w:r>
        <w:t>Međustanična (intersticijska) tekućina – kruži prostorima između stanica.</w:t>
      </w:r>
    </w:p>
    <w:p w:rsidR="0075301E" w:rsidRDefault="0075301E" w:rsidP="0075301E">
      <w:pPr>
        <w:pStyle w:val="NoSpacing"/>
        <w:jc w:val="both"/>
      </w:pPr>
      <w:r>
        <w:t>Tekućina krvne plazme – kroz kapilarne stijenke se slobodno miješa s međustaničnom tekućinom.</w:t>
      </w:r>
    </w:p>
    <w:p w:rsidR="00205496" w:rsidRDefault="00205496" w:rsidP="00205496">
      <w:pPr>
        <w:pStyle w:val="NoSpacing"/>
        <w:jc w:val="both"/>
      </w:pPr>
    </w:p>
    <w:p w:rsidR="00205496" w:rsidRDefault="00205496" w:rsidP="00205496">
      <w:pPr>
        <w:pStyle w:val="NoSpacing"/>
        <w:jc w:val="both"/>
      </w:pPr>
      <w:r w:rsidRPr="00205496">
        <w:rPr>
          <w:b/>
        </w:rPr>
        <w:t>HOMEOSTAZA</w:t>
      </w:r>
      <w:r>
        <w:sym w:font="Wingdings" w:char="F0E0"/>
      </w:r>
      <w:r>
        <w:t xml:space="preserve"> održavanje uvijeta u unutrašnjem okolišu nepromijenjenima, odnosno stalnima.</w:t>
      </w:r>
    </w:p>
    <w:p w:rsidR="00205496" w:rsidRDefault="00205496" w:rsidP="00205496">
      <w:pPr>
        <w:pStyle w:val="NoSpacing"/>
        <w:jc w:val="both"/>
      </w:pPr>
      <w:r>
        <w:t xml:space="preserve">                          </w:t>
      </w:r>
      <w:r>
        <w:rPr>
          <w:noProof/>
          <w:lang w:eastAsia="hr-HR"/>
        </w:rPr>
        <w:drawing>
          <wp:inline distT="0" distB="0" distL="0" distR="0">
            <wp:extent cx="3219450" cy="2181225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205496" w:rsidRDefault="00205496" w:rsidP="008A7ABA">
      <w:pPr>
        <w:pStyle w:val="NoSpacing"/>
      </w:pPr>
      <w:r w:rsidRPr="001441C2">
        <w:rPr>
          <w:b/>
        </w:rPr>
        <w:t>NADZORNI SUSTAVI TIJELA</w:t>
      </w:r>
      <w:r>
        <w:t xml:space="preserve"> </w:t>
      </w:r>
      <w:r>
        <w:sym w:font="Wingdings" w:char="F0E0"/>
      </w:r>
      <w:r>
        <w:t xml:space="preserve"> dijeluju unutar organa i nadziru funkcije pojedinih njigovih dijelova ili dijeluju po cijelom tijelu i nadziru međusoban odnos pojedinih organa.</w:t>
      </w:r>
    </w:p>
    <w:p w:rsidR="008A7ABA" w:rsidRDefault="008A7ABA" w:rsidP="008A7ABA">
      <w:pPr>
        <w:pStyle w:val="NoSpacing"/>
      </w:pPr>
      <w:r>
        <w:t>*Regulacija koncentracije kisika (puferska funkcija hemoglobina na kisik) – osniva se na kemijskim  značajkama hemoglobina</w:t>
      </w:r>
    </w:p>
    <w:p w:rsidR="008A7ABA" w:rsidRDefault="008A7ABA" w:rsidP="008A7ABA">
      <w:pPr>
        <w:pStyle w:val="NoSpacing"/>
      </w:pPr>
      <w:r>
        <w:t>*Regulacija koncentracije CO2 – visoka koncentracija podražuje dišni centar što potiče čovijeka na učestalije i dublje disanje</w:t>
      </w:r>
    </w:p>
    <w:p w:rsidR="001441C2" w:rsidRDefault="008A7ABA" w:rsidP="008A7ABA">
      <w:pPr>
        <w:pStyle w:val="NoSpacing"/>
      </w:pPr>
      <w:r>
        <w:t>*Regulacija arterijskog tlaka (baroreceptorski sustav) – povišenjem tlaka baroreceptori se podraže i odašilju impulse u vazomotorički centar u produženoj moždini koji smanjuje srčanu aktivnost; sniženjem tlaka povećava se srčana aktivnost</w:t>
      </w:r>
    </w:p>
    <w:p w:rsidR="001441C2" w:rsidRPr="001441C2" w:rsidRDefault="001441C2" w:rsidP="008A7ABA">
      <w:pPr>
        <w:pStyle w:val="NoSpacing"/>
        <w:rPr>
          <w:b/>
        </w:rPr>
      </w:pPr>
      <w:r w:rsidRPr="001441C2">
        <w:rPr>
          <w:b/>
        </w:rPr>
        <w:lastRenderedPageBreak/>
        <w:t>RASPONI NORMALNIH VRIJEDNOSTI VAŽNIH SASTOJAKA IZVANSTANIČNE TEKUĆINE</w:t>
      </w:r>
    </w:p>
    <w:p w:rsidR="001441C2" w:rsidRDefault="001441C2" w:rsidP="001441C2">
      <w:pPr>
        <w:pStyle w:val="NoSpacing"/>
        <w:numPr>
          <w:ilvl w:val="0"/>
          <w:numId w:val="3"/>
        </w:numPr>
      </w:pPr>
      <w:r>
        <w:t>vrijednosti izvan tih raspona obično su uzrok ili posljedica neke bolesti</w:t>
      </w:r>
    </w:p>
    <w:p w:rsidR="001441C2" w:rsidRDefault="001441C2" w:rsidP="001441C2">
      <w:pPr>
        <w:pStyle w:val="NoSpacing"/>
      </w:pPr>
      <w:r>
        <w:rPr>
          <w:noProof/>
          <w:lang w:eastAsia="hr-HR"/>
        </w:rPr>
        <w:drawing>
          <wp:inline distT="0" distB="0" distL="0" distR="0">
            <wp:extent cx="5760720" cy="1667946"/>
            <wp:effectExtent l="38100" t="0" r="1143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6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10799999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1441C2" w:rsidRDefault="001441C2" w:rsidP="001441C2"/>
    <w:p w:rsidR="001441C2" w:rsidRDefault="001441C2" w:rsidP="001441C2">
      <w:pPr>
        <w:pStyle w:val="NoSpacing"/>
      </w:pPr>
      <w:r w:rsidRPr="00CA3CA9">
        <w:rPr>
          <w:b/>
        </w:rPr>
        <w:t>NEGATIVNA POVRATNA SPREGA</w:t>
      </w:r>
      <w:r>
        <w:t xml:space="preserve"> </w:t>
      </w:r>
      <w:r>
        <w:sym w:font="Wingdings" w:char="F0E0"/>
      </w:r>
      <w:r>
        <w:t xml:space="preserve"> ako se neki čimbenik u tijelu previše poveća ili previše smanji, nadzorni će sustav potaknuti negativnu povratnu spregu koja će slijedom promjena vratiti taj čimbenik na neku srednju vrijednost i tako održati homeostazu.</w:t>
      </w:r>
    </w:p>
    <w:p w:rsidR="00CA3CA9" w:rsidRDefault="00313BB1" w:rsidP="00313BB1">
      <w:pPr>
        <w:pStyle w:val="NoSpacing"/>
      </w:pPr>
      <w:r>
        <w:t>Stupanj djelotvornosti kojom nadzorni sustav održava uvijete stalnima određen je KORISNOŠĆU POVRATNE SPREGE.</w:t>
      </w:r>
    </w:p>
    <w:p w:rsidR="00CA3CA9" w:rsidRDefault="00313BB1" w:rsidP="00313BB1">
      <w:pPr>
        <w:pStyle w:val="NoSpacing"/>
      </w:pPr>
      <w:r>
        <w:t xml:space="preserve"> Korisnost sustava može se izračunati prema formuli:  </w:t>
      </w:r>
      <w:r w:rsidR="00CA3CA9">
        <w:t>korisnost = ispravak /pogreška</w:t>
      </w:r>
      <w:r>
        <w:t xml:space="preserve">     </w:t>
      </w:r>
    </w:p>
    <w:p w:rsidR="00CA3CA9" w:rsidRDefault="00CA3CA9" w:rsidP="00313BB1">
      <w:pPr>
        <w:pStyle w:val="NoSpacing"/>
      </w:pPr>
    </w:p>
    <w:p w:rsidR="00313BB1" w:rsidRDefault="00CA3CA9" w:rsidP="00313BB1">
      <w:pPr>
        <w:pStyle w:val="NoSpacing"/>
      </w:pPr>
      <w:r>
        <w:rPr>
          <w:noProof/>
          <w:lang w:eastAsia="hr-HR"/>
        </w:rPr>
        <w:drawing>
          <wp:inline distT="0" distB="0" distL="0" distR="0">
            <wp:extent cx="2688012" cy="2493518"/>
            <wp:effectExtent l="0" t="114300" r="0" b="59182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047" cy="249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1620000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  <w:r w:rsidR="00313BB1">
        <w:t xml:space="preserve">              </w:t>
      </w:r>
      <w:r w:rsidRPr="00CA3CA9">
        <w:rPr>
          <w:noProof/>
          <w:lang w:eastAsia="hr-HR"/>
        </w:rPr>
        <w:drawing>
          <wp:inline distT="0" distB="0" distL="0" distR="0">
            <wp:extent cx="2607435" cy="2384909"/>
            <wp:effectExtent l="0" t="133350" r="0" b="72541"/>
            <wp:docPr id="1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435" cy="2384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1620000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313BB1" w:rsidRDefault="00313BB1" w:rsidP="00313BB1">
      <w:pPr>
        <w:pStyle w:val="NoSpacing"/>
      </w:pPr>
    </w:p>
    <w:p w:rsidR="00343572" w:rsidRDefault="00343572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083168" w:rsidRDefault="00083168" w:rsidP="00313BB1">
      <w:pPr>
        <w:pStyle w:val="NoSpacing"/>
        <w:rPr>
          <w:b/>
          <w:u w:val="single"/>
        </w:rPr>
      </w:pPr>
    </w:p>
    <w:p w:rsidR="00343572" w:rsidRPr="00B8014E" w:rsidRDefault="00343572" w:rsidP="00313BB1">
      <w:pPr>
        <w:pStyle w:val="NoSpacing"/>
        <w:rPr>
          <w:b/>
          <w:sz w:val="28"/>
          <w:szCs w:val="28"/>
          <w:u w:val="single"/>
        </w:rPr>
      </w:pPr>
      <w:r w:rsidRPr="00B8014E">
        <w:rPr>
          <w:b/>
          <w:sz w:val="28"/>
          <w:szCs w:val="28"/>
          <w:u w:val="single"/>
        </w:rPr>
        <w:lastRenderedPageBreak/>
        <w:t>FIZIČKA GRAĐA STANICE</w:t>
      </w:r>
    </w:p>
    <w:p w:rsidR="00343572" w:rsidRDefault="00343572" w:rsidP="00343572">
      <w:pPr>
        <w:pStyle w:val="NoSpacing"/>
        <w:numPr>
          <w:ilvl w:val="0"/>
          <w:numId w:val="4"/>
        </w:numPr>
        <w:jc w:val="both"/>
      </w:pPr>
      <w:r>
        <w:t>Sastoji se od 2 glavna dijela: jezgra i citoplazma koje su međusobno odvojene jezgrenom membranom, a citoplazma od okolne tekućine staničnom membranom</w:t>
      </w:r>
    </w:p>
    <w:p w:rsidR="00343572" w:rsidRDefault="00343572" w:rsidP="00343572">
      <w:pPr>
        <w:pStyle w:val="NoSpacing"/>
        <w:numPr>
          <w:ilvl w:val="0"/>
          <w:numId w:val="4"/>
        </w:numPr>
        <w:jc w:val="both"/>
      </w:pPr>
      <w:r w:rsidRPr="00343572">
        <w:rPr>
          <w:u w:val="single"/>
        </w:rPr>
        <w:t>Protoplazma</w:t>
      </w:r>
      <w:r>
        <w:t xml:space="preserve"> – različite tvari koje izgrađuju stanicu; sastoji se od 5 osnovnih tvari (vode, elektrolita, bjelančevina, lipida i ugljikohidrata)</w:t>
      </w:r>
    </w:p>
    <w:p w:rsidR="00DD7B75" w:rsidRDefault="00DD7B75" w:rsidP="00343572">
      <w:pPr>
        <w:pStyle w:val="NoSpacing"/>
        <w:numPr>
          <w:ilvl w:val="0"/>
          <w:numId w:val="4"/>
        </w:numPr>
        <w:jc w:val="both"/>
      </w:pPr>
      <w:r w:rsidRPr="00DD7B75">
        <w:t>Biološke membrane – za</w:t>
      </w:r>
      <w:r>
        <w:t xml:space="preserve"> čuvanje integriteta i izmjenu tvari</w:t>
      </w:r>
    </w:p>
    <w:p w:rsidR="00343572" w:rsidRDefault="00343572" w:rsidP="00343572">
      <w:pPr>
        <w:pStyle w:val="NoSpacing"/>
        <w:jc w:val="both"/>
        <w:rPr>
          <w:u w:val="single"/>
        </w:rPr>
      </w:pPr>
    </w:p>
    <w:p w:rsidR="00343572" w:rsidRPr="00ED3833" w:rsidRDefault="00343572" w:rsidP="00343572">
      <w:pPr>
        <w:pStyle w:val="NoSpacing"/>
        <w:jc w:val="both"/>
        <w:rPr>
          <w:b/>
          <w:u w:val="single"/>
        </w:rPr>
      </w:pPr>
      <w:r w:rsidRPr="00ED3833">
        <w:rPr>
          <w:b/>
          <w:u w:val="single"/>
        </w:rPr>
        <w:t>STANIČNA MEMBRANA</w:t>
      </w:r>
    </w:p>
    <w:p w:rsidR="00343572" w:rsidRDefault="00083168" w:rsidP="00083168">
      <w:pPr>
        <w:pStyle w:val="NoSpacing"/>
        <w:jc w:val="both"/>
      </w:pPr>
      <w:r>
        <w:t>a)LIPIDNA PREPREKA:</w:t>
      </w:r>
    </w:p>
    <w:p w:rsidR="00083168" w:rsidRDefault="00083168" w:rsidP="00083168">
      <w:pPr>
        <w:pStyle w:val="NoSpacing"/>
        <w:numPr>
          <w:ilvl w:val="0"/>
          <w:numId w:val="6"/>
        </w:numPr>
        <w:jc w:val="both"/>
      </w:pPr>
      <w:r>
        <w:t>Lipidni dvosloj – tanak sloj lipida debljine 2 molekule što se pruža cijelom staničnom površinom i u kojem su raspršene velike molekule globularnih bjelančevina.</w:t>
      </w:r>
    </w:p>
    <w:p w:rsidR="00083168" w:rsidRDefault="00083168" w:rsidP="00083168">
      <w:pPr>
        <w:pStyle w:val="NoSpacing"/>
        <w:numPr>
          <w:ilvl w:val="0"/>
          <w:numId w:val="6"/>
        </w:numPr>
        <w:jc w:val="both"/>
      </w:pPr>
      <w:r>
        <w:t>Sastoji se isključivo od fosfolipida i kolesterola, s time da je jedan dio molekule topljiv u vodi (hidrofilan), a drugi dio je topljiv samo u mastima (hidrofoban).</w:t>
      </w:r>
    </w:p>
    <w:p w:rsidR="00083168" w:rsidRDefault="00083168" w:rsidP="00083168">
      <w:pPr>
        <w:pStyle w:val="NoSpacing"/>
        <w:numPr>
          <w:ilvl w:val="0"/>
          <w:numId w:val="6"/>
        </w:numPr>
        <w:jc w:val="both"/>
      </w:pPr>
      <w:r w:rsidRPr="00A85AD9">
        <w:rPr>
          <w:u w:val="single"/>
        </w:rPr>
        <w:t>Fosfolipid</w:t>
      </w:r>
      <w:r>
        <w:t xml:space="preserve"> – fosfatni radikal koji je hidrofilan, i lipidni koji je hidrofoban</w:t>
      </w:r>
    </w:p>
    <w:p w:rsidR="00083168" w:rsidRDefault="00083168" w:rsidP="00083168">
      <w:pPr>
        <w:pStyle w:val="NoSpacing"/>
        <w:numPr>
          <w:ilvl w:val="0"/>
          <w:numId w:val="6"/>
        </w:numPr>
        <w:jc w:val="both"/>
      </w:pPr>
      <w:r w:rsidRPr="00A85AD9">
        <w:rPr>
          <w:u w:val="single"/>
        </w:rPr>
        <w:t>Kolesterol</w:t>
      </w:r>
      <w:r>
        <w:t xml:space="preserve"> – hidroksilni radikal koji je hidrofilan, i steroidna jezgra koja je hidrofobna</w:t>
      </w:r>
    </w:p>
    <w:p w:rsidR="00083168" w:rsidRDefault="00083168" w:rsidP="00083168">
      <w:pPr>
        <w:pStyle w:val="NoSpacing"/>
        <w:numPr>
          <w:ilvl w:val="0"/>
          <w:numId w:val="6"/>
        </w:numPr>
        <w:jc w:val="both"/>
      </w:pPr>
      <w:r>
        <w:t>Hidrofobni dijelovi se međusobno privlače, pa masni dijelovi zauzimaju sredinu opne, a hidrofilni dijelovi se protežu na površini i u dodiru su s okolnom vodom.</w:t>
      </w:r>
    </w:p>
    <w:p w:rsidR="00825469" w:rsidRDefault="00825469" w:rsidP="00083168">
      <w:pPr>
        <w:pStyle w:val="NoSpacing"/>
        <w:numPr>
          <w:ilvl w:val="0"/>
          <w:numId w:val="6"/>
        </w:numPr>
        <w:jc w:val="both"/>
      </w:pPr>
      <w:r>
        <w:t>Propušta samo tvari topive u mastima (kisik, CO2, alkohol...)</w:t>
      </w:r>
    </w:p>
    <w:p w:rsidR="00825469" w:rsidRDefault="00825469" w:rsidP="00083168">
      <w:pPr>
        <w:pStyle w:val="NoSpacing"/>
        <w:numPr>
          <w:ilvl w:val="0"/>
          <w:numId w:val="6"/>
        </w:numPr>
        <w:jc w:val="both"/>
      </w:pPr>
      <w:r>
        <w:t>On je tekuć a ne krut, te tvari otopljene u dvosloju difundiraju u sve dijelove membrane.</w:t>
      </w:r>
    </w:p>
    <w:p w:rsidR="00825469" w:rsidRDefault="00825469" w:rsidP="00825469">
      <w:pPr>
        <w:pStyle w:val="NoSpacing"/>
        <w:jc w:val="both"/>
      </w:pPr>
      <w:r>
        <w:t>b)BJELANČEVINE</w:t>
      </w:r>
      <w:r w:rsidR="00A85AD9">
        <w:t xml:space="preserve"> STANIČNE MEMBRANE</w:t>
      </w:r>
      <w:r>
        <w:t>:</w:t>
      </w:r>
    </w:p>
    <w:p w:rsidR="00A85AD9" w:rsidRDefault="00A85AD9" w:rsidP="00A85AD9">
      <w:pPr>
        <w:pStyle w:val="NoSpacing"/>
        <w:numPr>
          <w:ilvl w:val="0"/>
          <w:numId w:val="7"/>
        </w:numPr>
        <w:jc w:val="both"/>
      </w:pPr>
      <w:r>
        <w:t>većinom glikoproteini</w:t>
      </w:r>
    </w:p>
    <w:p w:rsidR="00A85AD9" w:rsidRDefault="00A85AD9" w:rsidP="00A85AD9">
      <w:pPr>
        <w:pStyle w:val="NoSpacing"/>
        <w:numPr>
          <w:ilvl w:val="0"/>
          <w:numId w:val="7"/>
        </w:numPr>
        <w:jc w:val="both"/>
      </w:pPr>
      <w:r w:rsidRPr="00A85AD9">
        <w:rPr>
          <w:u w:val="single"/>
        </w:rPr>
        <w:t>Integralne bjelančevine</w:t>
      </w:r>
      <w:r>
        <w:t xml:space="preserve"> – protežu se čitavom debljinom membrane i tvore kanale kroz koje prolaze tvari topive u vodi (imaju selektivne osobine – neke tvari pri difuziji imaju prednost nad drugima)</w:t>
      </w:r>
    </w:p>
    <w:p w:rsidR="00A85AD9" w:rsidRDefault="00A85AD9" w:rsidP="00A85AD9">
      <w:pPr>
        <w:pStyle w:val="NoSpacing"/>
        <w:numPr>
          <w:ilvl w:val="0"/>
          <w:numId w:val="7"/>
        </w:numPr>
        <w:jc w:val="both"/>
      </w:pPr>
      <w:r>
        <w:t>Aktivni prijenos – integralne bjelančevine također djeluju kao bjelančevinski nosači koji prenose tvari u smjeru suprotnom od njihovog prirodnog smjera difuzije.</w:t>
      </w:r>
    </w:p>
    <w:p w:rsidR="00A85AD9" w:rsidRDefault="00A85AD9" w:rsidP="00A85AD9">
      <w:pPr>
        <w:pStyle w:val="NoSpacing"/>
        <w:numPr>
          <w:ilvl w:val="0"/>
          <w:numId w:val="7"/>
        </w:numPr>
        <w:jc w:val="both"/>
      </w:pPr>
      <w:r w:rsidRPr="00A85AD9">
        <w:rPr>
          <w:u w:val="single"/>
        </w:rPr>
        <w:t>Periferne bjelančevine</w:t>
      </w:r>
      <w:r>
        <w:t xml:space="preserve"> – nalaze se na unutrašnjoj strani opne te su samo pričvršćene za površine i ne prodiru u nju; dijeluju kao enzimi koji kataliziraju kemijske reakcije bitne za staničnu funkciju.</w:t>
      </w:r>
    </w:p>
    <w:p w:rsidR="00A85AD9" w:rsidRDefault="00A85AD9" w:rsidP="00A85AD9">
      <w:pPr>
        <w:pStyle w:val="NoSpacing"/>
        <w:jc w:val="both"/>
      </w:pPr>
      <w:r w:rsidRPr="00A85AD9">
        <w:t>c)MEMBRANSKI UGLJIKOHIDRATI</w:t>
      </w:r>
      <w:r>
        <w:t xml:space="preserve"> (stanični glikakolis)</w:t>
      </w:r>
      <w:r w:rsidRPr="00A85AD9">
        <w:t>:</w:t>
      </w:r>
    </w:p>
    <w:p w:rsidR="00DD7B75" w:rsidRDefault="00ED3833" w:rsidP="00ED3833">
      <w:pPr>
        <w:pStyle w:val="NoSpacing"/>
        <w:numPr>
          <w:ilvl w:val="0"/>
          <w:numId w:val="8"/>
        </w:numPr>
        <w:jc w:val="both"/>
      </w:pPr>
      <w:r>
        <w:t>Pojavljuju se u kombinaciji s bjelančevinama i lipidima kao glikoproteini i glikolipidi</w:t>
      </w:r>
    </w:p>
    <w:p w:rsidR="00ED3833" w:rsidRDefault="00ED3833" w:rsidP="00ED3833">
      <w:pPr>
        <w:pStyle w:val="NoSpacing"/>
        <w:numPr>
          <w:ilvl w:val="0"/>
          <w:numId w:val="8"/>
        </w:numPr>
        <w:jc w:val="both"/>
      </w:pPr>
      <w:r>
        <w:t>Proteoglikani – ugljikohidratne tvari međusobno povezane malim bjelančevinastim jezgrama</w:t>
      </w:r>
    </w:p>
    <w:p w:rsidR="00ED3833" w:rsidRDefault="00ED3833" w:rsidP="00ED3833">
      <w:pPr>
        <w:pStyle w:val="NoSpacing"/>
        <w:numPr>
          <w:ilvl w:val="0"/>
          <w:numId w:val="8"/>
        </w:numPr>
        <w:jc w:val="both"/>
      </w:pPr>
      <w:r>
        <w:t>Glikokaliksom – labav ugljikohidratni omotač na čitavoj staničnoj površini</w:t>
      </w:r>
    </w:p>
    <w:p w:rsidR="00ED3833" w:rsidRDefault="00ED3833" w:rsidP="00ED3833">
      <w:pPr>
        <w:pStyle w:val="NoSpacing"/>
        <w:numPr>
          <w:ilvl w:val="0"/>
          <w:numId w:val="8"/>
        </w:numPr>
        <w:jc w:val="both"/>
      </w:pPr>
      <w:r>
        <w:t>Zadaće: daju negativni naboj stanici i time odbijaju druge negativne objekte (1); vežu se na druge stanice (2); djeluju kao receptorske tvari koje vežu hormone (3); sudjeluju u imunosnim reakcijama (4)</w:t>
      </w:r>
    </w:p>
    <w:p w:rsidR="00ED3833" w:rsidRDefault="00ED3833" w:rsidP="00ED3833">
      <w:pPr>
        <w:pStyle w:val="NoSpacing"/>
        <w:jc w:val="both"/>
      </w:pPr>
    </w:p>
    <w:p w:rsidR="00ED3833" w:rsidRDefault="00ED3833" w:rsidP="00ED3833">
      <w:pPr>
        <w:pStyle w:val="NoSpacing"/>
        <w:jc w:val="both"/>
        <w:rPr>
          <w:b/>
          <w:u w:val="single"/>
        </w:rPr>
      </w:pPr>
      <w:r w:rsidRPr="00ED3833">
        <w:rPr>
          <w:b/>
          <w:u w:val="single"/>
        </w:rPr>
        <w:t>CITOPLAZMA I ORGANELE</w:t>
      </w:r>
    </w:p>
    <w:p w:rsidR="00ED3833" w:rsidRDefault="00ED3833" w:rsidP="00ED3833">
      <w:pPr>
        <w:pStyle w:val="NoSpacing"/>
        <w:jc w:val="both"/>
      </w:pPr>
      <w:r>
        <w:t xml:space="preserve">Citosol </w:t>
      </w:r>
      <w:r>
        <w:sym w:font="Wingdings" w:char="F0E0"/>
      </w:r>
      <w:r>
        <w:t xml:space="preserve"> bistar tekući dio citoplazme u kojim su raspršene čestice i organele, veličina kojih iznosi od nekoliko nanometara do nekoliko mikrometara.</w:t>
      </w:r>
    </w:p>
    <w:p w:rsidR="00ED3833" w:rsidRPr="00AD1CE5" w:rsidRDefault="00ED3833" w:rsidP="00ED3833">
      <w:pPr>
        <w:pStyle w:val="NoSpacing"/>
        <w:jc w:val="both"/>
        <w:rPr>
          <w:u w:val="single"/>
        </w:rPr>
      </w:pPr>
      <w:r w:rsidRPr="00AD1CE5">
        <w:rPr>
          <w:u w:val="single"/>
        </w:rPr>
        <w:t>ENDOPLAZMATSKI RETIKUL</w:t>
      </w:r>
    </w:p>
    <w:p w:rsidR="00AD1CE5" w:rsidRDefault="00AD1CE5" w:rsidP="00AD1CE5">
      <w:pPr>
        <w:pStyle w:val="NoSpacing"/>
        <w:numPr>
          <w:ilvl w:val="0"/>
          <w:numId w:val="9"/>
        </w:numPr>
        <w:jc w:val="both"/>
      </w:pPr>
      <w:r>
        <w:t>Mreža cjevastih i plosnatih mjehurastih tvorbi; stijenka građena od dvosloja lipida.</w:t>
      </w:r>
    </w:p>
    <w:p w:rsidR="00AD1CE5" w:rsidRDefault="00AD1CE5" w:rsidP="00AD1CE5">
      <w:pPr>
        <w:pStyle w:val="NoSpacing"/>
        <w:numPr>
          <w:ilvl w:val="0"/>
          <w:numId w:val="9"/>
        </w:numPr>
        <w:jc w:val="both"/>
      </w:pPr>
      <w:r>
        <w:t>Endoplazmatski matriks – tekućina koja ispunjava prostor unutar cjevčica i mjehurića.</w:t>
      </w:r>
    </w:p>
    <w:p w:rsidR="00AD1CE5" w:rsidRDefault="00AD1CE5" w:rsidP="00AD1CE5">
      <w:pPr>
        <w:pStyle w:val="NoSpacing"/>
        <w:numPr>
          <w:ilvl w:val="0"/>
          <w:numId w:val="9"/>
        </w:numPr>
        <w:jc w:val="both"/>
      </w:pPr>
      <w:r w:rsidRPr="00AD1CE5">
        <w:rPr>
          <w:u w:val="single"/>
        </w:rPr>
        <w:t>Zrnati endoplazmatski retikul</w:t>
      </w:r>
      <w:r>
        <w:t xml:space="preserve"> – s vanjske strane ima mnogo zrnatih čestica (ribosoma) koje se sastoje od ribonukleinske kiseline (RNA) i bjelančevina, a sudjeluju u sintezi bjelančevina.</w:t>
      </w:r>
    </w:p>
    <w:p w:rsidR="00ED3833" w:rsidRDefault="00AD1CE5" w:rsidP="00ED3833">
      <w:pPr>
        <w:pStyle w:val="NoSpacing"/>
        <w:numPr>
          <w:ilvl w:val="0"/>
          <w:numId w:val="9"/>
        </w:numPr>
        <w:jc w:val="both"/>
      </w:pPr>
      <w:r w:rsidRPr="00AD1CE5">
        <w:rPr>
          <w:u w:val="single"/>
        </w:rPr>
        <w:t>Glatki endoplazmatski retikul</w:t>
      </w:r>
      <w:r>
        <w:t xml:space="preserve"> – bez ribosoma; sudjeluje u sintezi lipidnih tvari i u enzimskim procesima.</w:t>
      </w:r>
    </w:p>
    <w:p w:rsidR="00B8014E" w:rsidRDefault="00B8014E" w:rsidP="00ED3833">
      <w:pPr>
        <w:pStyle w:val="NoSpacing"/>
        <w:jc w:val="both"/>
        <w:rPr>
          <w:u w:val="single"/>
        </w:rPr>
      </w:pPr>
    </w:p>
    <w:p w:rsidR="00B8014E" w:rsidRDefault="00B8014E" w:rsidP="00ED3833">
      <w:pPr>
        <w:pStyle w:val="NoSpacing"/>
        <w:jc w:val="both"/>
        <w:rPr>
          <w:u w:val="single"/>
        </w:rPr>
      </w:pPr>
    </w:p>
    <w:p w:rsidR="00B8014E" w:rsidRDefault="00B8014E" w:rsidP="00ED3833">
      <w:pPr>
        <w:pStyle w:val="NoSpacing"/>
        <w:jc w:val="both"/>
        <w:rPr>
          <w:u w:val="single"/>
        </w:rPr>
      </w:pPr>
    </w:p>
    <w:p w:rsidR="00AD1CE5" w:rsidRPr="00AD1CE5" w:rsidRDefault="00AD1CE5" w:rsidP="00ED3833">
      <w:pPr>
        <w:pStyle w:val="NoSpacing"/>
        <w:jc w:val="both"/>
        <w:rPr>
          <w:u w:val="single"/>
        </w:rPr>
      </w:pPr>
      <w:r w:rsidRPr="00AD1CE5">
        <w:rPr>
          <w:u w:val="single"/>
        </w:rPr>
        <w:lastRenderedPageBreak/>
        <w:t>GOLGIJEV APARAT</w:t>
      </w:r>
    </w:p>
    <w:p w:rsidR="00AD1CE5" w:rsidRDefault="00AD1CE5" w:rsidP="00ED3833">
      <w:pPr>
        <w:pStyle w:val="NoSpacing"/>
        <w:jc w:val="both"/>
      </w:pPr>
      <w:r>
        <w:t>Mjehurići endoplazmatskog retikula (ER-mjehurići) neprekidno se otkidaju od endoplazmatskog retikula i spajaju s Golgijevim aparatom, te se tvari zatim obrađuju pa nastaju lizosomi, sekrecijska zrnca i druge citoplazmatske tvorbe.</w:t>
      </w:r>
    </w:p>
    <w:p w:rsidR="00253B3D" w:rsidRPr="00253B3D" w:rsidRDefault="00253B3D" w:rsidP="00ED3833">
      <w:pPr>
        <w:pStyle w:val="NoSpacing"/>
        <w:jc w:val="both"/>
      </w:pPr>
      <w:r>
        <w:t>Mikrotubuli – cjevaste tvorbe koje čine stanični cirkulacijski sustav jer prenose tvari s jednog dijela stanice na srugi.</w:t>
      </w:r>
    </w:p>
    <w:p w:rsidR="00AD1CE5" w:rsidRPr="00B275CA" w:rsidRDefault="00AD1CE5" w:rsidP="00ED3833">
      <w:pPr>
        <w:pStyle w:val="NoSpacing"/>
        <w:jc w:val="both"/>
        <w:rPr>
          <w:u w:val="single"/>
        </w:rPr>
      </w:pPr>
      <w:r w:rsidRPr="00B275CA">
        <w:rPr>
          <w:u w:val="single"/>
        </w:rPr>
        <w:t>LIZOSOMI</w:t>
      </w:r>
    </w:p>
    <w:p w:rsidR="00AD1CE5" w:rsidRDefault="00AD1CE5" w:rsidP="00B275CA">
      <w:pPr>
        <w:pStyle w:val="NoSpacing"/>
        <w:numPr>
          <w:ilvl w:val="0"/>
          <w:numId w:val="10"/>
        </w:numPr>
        <w:jc w:val="both"/>
      </w:pPr>
      <w:r>
        <w:t>Mjehuraste organele što nastaju iz Golgijevog aparata i zatim se raspršuju po cijeloj citoplazmi.</w:t>
      </w:r>
    </w:p>
    <w:p w:rsidR="00AD1CE5" w:rsidRPr="00ED3833" w:rsidRDefault="00B275CA" w:rsidP="00B275CA">
      <w:pPr>
        <w:pStyle w:val="NoSpacing"/>
        <w:numPr>
          <w:ilvl w:val="0"/>
          <w:numId w:val="10"/>
        </w:numPr>
        <w:jc w:val="both"/>
      </w:pPr>
      <w:r>
        <w:t>Čine stanični probavni sustav; tvari probavljaju uz pomoć kiselih hidrolaza (više od 50), a glavne tvari koje probavljaju su bjelančevine, nukleinske kiseline, mukopolisaharidi, lipidi i glikogen.</w:t>
      </w:r>
    </w:p>
    <w:p w:rsidR="00ED3833" w:rsidRDefault="00B275CA" w:rsidP="00B275CA">
      <w:pPr>
        <w:pStyle w:val="NoSpacing"/>
        <w:jc w:val="both"/>
      </w:pPr>
      <w:r>
        <w:t>MITOHONDRIJI</w:t>
      </w:r>
    </w:p>
    <w:p w:rsidR="00B275CA" w:rsidRDefault="00B275CA" w:rsidP="00B275CA">
      <w:pPr>
        <w:pStyle w:val="NoSpacing"/>
        <w:numPr>
          <w:ilvl w:val="0"/>
          <w:numId w:val="11"/>
        </w:numPr>
        <w:jc w:val="both"/>
      </w:pPr>
      <w:r>
        <w:t>Sastavljen od dviju opni (vanjske i unutrašnje), a  brojni nabori unujtrašnje membrane čine police na kojima se nalaze oksidacijski enzimi. Unutrašnji prostor ispunjava matriks u kojem je mnogo enzima koji uzrokuju oksidaciju hranjivih tvari pri čemu nastaju CO2 i voda.</w:t>
      </w:r>
    </w:p>
    <w:p w:rsidR="00B275CA" w:rsidRDefault="00B275CA" w:rsidP="007D48F2">
      <w:pPr>
        <w:pStyle w:val="NoSpacing"/>
        <w:numPr>
          <w:ilvl w:val="0"/>
          <w:numId w:val="11"/>
        </w:numPr>
        <w:jc w:val="both"/>
      </w:pPr>
      <w:r>
        <w:t>ATP – adenozin-trifosfat – spoj bogat energijom koji odlazi iz mitohondrija i oslobađa svoju energiju gdje god je to potrebno za odvijanje staničnih funkcija.</w:t>
      </w:r>
    </w:p>
    <w:p w:rsidR="007D48F2" w:rsidRDefault="007D48F2" w:rsidP="007D48F2">
      <w:pPr>
        <w:pStyle w:val="NoSpacing"/>
        <w:numPr>
          <w:ilvl w:val="0"/>
          <w:numId w:val="11"/>
        </w:numPr>
        <w:jc w:val="both"/>
      </w:pPr>
      <w:r>
        <w:t>ATP je nukleotid koji se sastoji od dušićne baze adenina, pentoznog šećera riboze i 3 fosfatna radikala.</w:t>
      </w:r>
    </w:p>
    <w:p w:rsidR="007D48F2" w:rsidRDefault="007D48F2" w:rsidP="00B275CA">
      <w:pPr>
        <w:pStyle w:val="NoSpacing"/>
        <w:numPr>
          <w:ilvl w:val="0"/>
          <w:numId w:val="11"/>
        </w:numPr>
        <w:jc w:val="both"/>
      </w:pPr>
      <w:r>
        <w:t>ATP se upotrebljava za obavljanje triju glavnih vrsta staničnih funkcija: 1) prijenos kroz membranu 2) sintezu kemijskih tvari u stanici 3)mehanički rad</w:t>
      </w:r>
    </w:p>
    <w:p w:rsidR="007D48F2" w:rsidRDefault="007D48F2" w:rsidP="00B275CA">
      <w:pPr>
        <w:pStyle w:val="NoSpacing"/>
        <w:numPr>
          <w:ilvl w:val="0"/>
          <w:numId w:val="11"/>
        </w:numPr>
        <w:jc w:val="both"/>
      </w:pPr>
      <w:r>
        <w:t>Mitohondriji se mogu sami umnožavati po potrebi.</w:t>
      </w:r>
    </w:p>
    <w:p w:rsidR="00A85AD9" w:rsidRPr="00A85AD9" w:rsidRDefault="00A85AD9" w:rsidP="00A85AD9">
      <w:pPr>
        <w:pStyle w:val="NoSpacing"/>
        <w:jc w:val="both"/>
      </w:pPr>
    </w:p>
    <w:p w:rsidR="00253B3D" w:rsidRDefault="00253B3D" w:rsidP="00083168">
      <w:pPr>
        <w:pStyle w:val="NoSpacing"/>
        <w:jc w:val="both"/>
      </w:pPr>
      <w:r w:rsidRPr="001C2C3E">
        <w:rPr>
          <w:u w:val="single"/>
        </w:rPr>
        <w:t>JEZGRA</w:t>
      </w:r>
      <w:r>
        <w:sym w:font="Wingdings" w:char="F0E0"/>
      </w:r>
      <w:r>
        <w:t xml:space="preserve"> nadzorno središte stanice; sadrži veliku količinu DNA u obliku kromatinske tvari.</w:t>
      </w:r>
    </w:p>
    <w:p w:rsidR="00253B3D" w:rsidRDefault="00253B3D" w:rsidP="00083168">
      <w:pPr>
        <w:pStyle w:val="NoSpacing"/>
        <w:jc w:val="both"/>
      </w:pPr>
      <w:r w:rsidRPr="001C2C3E">
        <w:rPr>
          <w:u w:val="single"/>
        </w:rPr>
        <w:t>JEZGRENA MEMBRANA</w:t>
      </w:r>
      <w:r>
        <w:t xml:space="preserve"> </w:t>
      </w:r>
      <w:r>
        <w:sym w:font="Wingdings" w:char="F0E0"/>
      </w:r>
      <w:r>
        <w:t xml:space="preserve"> dvije odvojene opne; vanjska se nadovezuje za endoplazmatski retikul, a probija ju nekoliko tisuća jezgrenih pora.</w:t>
      </w:r>
    </w:p>
    <w:p w:rsidR="00253B3D" w:rsidRDefault="00253B3D" w:rsidP="00083168">
      <w:pPr>
        <w:pStyle w:val="NoSpacing"/>
        <w:jc w:val="both"/>
      </w:pPr>
      <w:r w:rsidRPr="001C2C3E">
        <w:rPr>
          <w:u w:val="single"/>
        </w:rPr>
        <w:t>NUKLEOLI (jezgrice)</w:t>
      </w:r>
      <w:r>
        <w:t xml:space="preserve"> </w:t>
      </w:r>
      <w:r>
        <w:sym w:font="Wingdings" w:char="F0E0"/>
      </w:r>
      <w:r>
        <w:t xml:space="preserve"> tvorba unutar jezgre koja sadrži veliku količinu RNA i bjelančevina te nema granične opne; kondenzira RNA s bjelančevinama u </w:t>
      </w:r>
      <w:r w:rsidR="001C2C3E">
        <w:t>ribosomska zrnca koja se kada prođu</w:t>
      </w:r>
      <w:r>
        <w:t xml:space="preserve"> kroz pore u citoplazmu udružuju u zrele ribosome. </w:t>
      </w:r>
    </w:p>
    <w:p w:rsidR="001C2C3E" w:rsidRDefault="001C2C3E" w:rsidP="00083168">
      <w:pPr>
        <w:pStyle w:val="NoSpacing"/>
        <w:jc w:val="both"/>
      </w:pPr>
    </w:p>
    <w:p w:rsidR="007D48F2" w:rsidRDefault="007D48F2" w:rsidP="00083168">
      <w:pPr>
        <w:pStyle w:val="NoSpacing"/>
        <w:jc w:val="both"/>
      </w:pPr>
    </w:p>
    <w:p w:rsidR="001C2C3E" w:rsidRPr="009C2E9A" w:rsidRDefault="001C2C3E" w:rsidP="00083168">
      <w:pPr>
        <w:pStyle w:val="NoSpacing"/>
        <w:jc w:val="both"/>
        <w:rPr>
          <w:b/>
          <w:u w:val="single"/>
        </w:rPr>
      </w:pPr>
      <w:r w:rsidRPr="009C2E9A">
        <w:rPr>
          <w:b/>
          <w:u w:val="single"/>
        </w:rPr>
        <w:t>FUNKCIJE STANICE:</w:t>
      </w:r>
    </w:p>
    <w:p w:rsidR="001C2C3E" w:rsidRDefault="001C2C3E" w:rsidP="001C2C3E">
      <w:pPr>
        <w:pStyle w:val="NoSpacing"/>
        <w:jc w:val="both"/>
      </w:pPr>
      <w:r w:rsidRPr="009C2E9A">
        <w:rPr>
          <w:u w:val="single"/>
        </w:rPr>
        <w:t>ENDOCITOZA</w:t>
      </w:r>
      <w:r>
        <w:t xml:space="preserve"> </w:t>
      </w:r>
      <w:r>
        <w:sym w:font="Wingdings" w:char="F0E0"/>
      </w:r>
      <w:r>
        <w:t xml:space="preserve"> specijalizirana funkcija stanične opne kojom velike čestice ulaze u stanicu.</w:t>
      </w:r>
    </w:p>
    <w:p w:rsidR="001C2C3E" w:rsidRDefault="001C2C3E" w:rsidP="001C2C3E">
      <w:pPr>
        <w:pStyle w:val="NoSpacing"/>
        <w:jc w:val="both"/>
      </w:pPr>
      <w:r>
        <w:t>1.PINOCITOZA</w:t>
      </w:r>
    </w:p>
    <w:p w:rsidR="009C2E9A" w:rsidRDefault="001C2C3E" w:rsidP="001C2C3E">
      <w:pPr>
        <w:pStyle w:val="NoSpacing"/>
        <w:jc w:val="both"/>
      </w:pPr>
      <w:r>
        <w:t xml:space="preserve">Jedini način kojim neke veoma velike makromolekule mogu ući u stanicu; obično se vežu za receptor na površini membrane (specifični za svaku bjelančevinu), a nalaze se u udubljenjima koja se zovu </w:t>
      </w:r>
      <w:r w:rsidRPr="009C2E9A">
        <w:rPr>
          <w:i/>
        </w:rPr>
        <w:t>obložene jamice</w:t>
      </w:r>
      <w:r w:rsidR="009C2E9A">
        <w:t xml:space="preserve">. Nakon vezanja molekule s receptorom jamica se izvrne prema unutra, te se uvrnuti dio membrane otkine tvoreći </w:t>
      </w:r>
      <w:r w:rsidR="009C2E9A" w:rsidRPr="009C2E9A">
        <w:rPr>
          <w:i/>
        </w:rPr>
        <w:t>pinocitozni mjehurić</w:t>
      </w:r>
      <w:r w:rsidR="009C2E9A">
        <w:t>.</w:t>
      </w:r>
    </w:p>
    <w:p w:rsidR="009C2E9A" w:rsidRDefault="009C2E9A" w:rsidP="001C2C3E">
      <w:pPr>
        <w:pStyle w:val="NoSpacing"/>
        <w:jc w:val="both"/>
      </w:pPr>
      <w:r>
        <w:t>2.FAGOCITOZA</w:t>
      </w:r>
    </w:p>
    <w:p w:rsidR="009C2E9A" w:rsidRDefault="009C2E9A" w:rsidP="009C2E9A">
      <w:pPr>
        <w:pStyle w:val="NoSpacing"/>
        <w:numPr>
          <w:ilvl w:val="0"/>
          <w:numId w:val="12"/>
        </w:numPr>
        <w:jc w:val="both"/>
      </w:pPr>
      <w:r>
        <w:t>Unošenje velikih čestica poput bakterija, stanica ili dijelova degeneriranog tkiva.</w:t>
      </w:r>
    </w:p>
    <w:p w:rsidR="009C2E9A" w:rsidRDefault="009C2E9A" w:rsidP="009C2E9A">
      <w:pPr>
        <w:pStyle w:val="NoSpacing"/>
        <w:numPr>
          <w:ilvl w:val="0"/>
          <w:numId w:val="12"/>
        </w:numPr>
        <w:jc w:val="both"/>
      </w:pPr>
      <w:r>
        <w:t>Samo neke stanice imaju ovu sposobnost – tkivni makrofagi i neki leukociti.</w:t>
      </w:r>
    </w:p>
    <w:p w:rsidR="009C2E9A" w:rsidRDefault="001C2C3E" w:rsidP="001C2C3E">
      <w:pPr>
        <w:pStyle w:val="NoSpacing"/>
        <w:jc w:val="both"/>
      </w:pPr>
      <w:r>
        <w:t xml:space="preserve"> </w:t>
      </w:r>
    </w:p>
    <w:p w:rsidR="001C2C3E" w:rsidRPr="009C2E9A" w:rsidRDefault="009C2E9A" w:rsidP="001C2C3E">
      <w:pPr>
        <w:pStyle w:val="NoSpacing"/>
        <w:jc w:val="both"/>
        <w:rPr>
          <w:u w:val="single"/>
        </w:rPr>
      </w:pPr>
      <w:r w:rsidRPr="009C2E9A">
        <w:rPr>
          <w:u w:val="single"/>
        </w:rPr>
        <w:t>PROBAVA</w:t>
      </w:r>
    </w:p>
    <w:p w:rsidR="009C2E9A" w:rsidRPr="009C2E9A" w:rsidRDefault="009C2E9A" w:rsidP="009C2E9A">
      <w:pPr>
        <w:pStyle w:val="NoSpacing"/>
        <w:numPr>
          <w:ilvl w:val="0"/>
          <w:numId w:val="13"/>
        </w:numPr>
        <w:jc w:val="both"/>
        <w:rPr>
          <w:i/>
        </w:rPr>
      </w:pPr>
      <w:r>
        <w:t xml:space="preserve">Nakon što se pinocitozni ili fagocitozni mjehurić pojavi u stanici, lizosomi se pričvrste za njega i ispuste svoje kisele hidrolaze te nastane </w:t>
      </w:r>
      <w:r w:rsidRPr="009C2E9A">
        <w:rPr>
          <w:i/>
        </w:rPr>
        <w:t>probavni mjehurić.</w:t>
      </w:r>
    </w:p>
    <w:p w:rsidR="009C2E9A" w:rsidRDefault="009C2E9A" w:rsidP="009C2E9A">
      <w:pPr>
        <w:pStyle w:val="NoSpacing"/>
        <w:numPr>
          <w:ilvl w:val="0"/>
          <w:numId w:val="13"/>
        </w:numPr>
        <w:jc w:val="both"/>
      </w:pPr>
      <w:r w:rsidRPr="009C2E9A">
        <w:rPr>
          <w:u w:val="single"/>
        </w:rPr>
        <w:t>Ostatno tijelo</w:t>
      </w:r>
      <w:r>
        <w:t xml:space="preserve"> – ono što preostane od probavnog mjehurića, neprobavljene tvari, a izbacuje se kroz membranu egzocitozom (suprotno od endocitoze).</w:t>
      </w:r>
    </w:p>
    <w:p w:rsidR="007D48F2" w:rsidRDefault="009C2E9A" w:rsidP="009C2E9A">
      <w:pPr>
        <w:pStyle w:val="NoSpacing"/>
        <w:numPr>
          <w:ilvl w:val="0"/>
          <w:numId w:val="13"/>
        </w:numPr>
        <w:jc w:val="both"/>
      </w:pPr>
      <w:r>
        <w:t xml:space="preserve">Lizosomi sadrže i baktericidne tvari koje mogu uništiti bakterije: </w:t>
      </w:r>
      <w:r w:rsidRPr="009C2E9A">
        <w:rPr>
          <w:i/>
        </w:rPr>
        <w:t>lizozim</w:t>
      </w:r>
      <w:r>
        <w:t xml:space="preserve"> (otapa staničnu membranu bakterija), </w:t>
      </w:r>
      <w:r w:rsidRPr="009C2E9A">
        <w:rPr>
          <w:i/>
        </w:rPr>
        <w:t>lizoferin</w:t>
      </w:r>
      <w:r>
        <w:t xml:space="preserve"> (veže željezo i druge kovine bitne za bakterijski rast)</w:t>
      </w:r>
    </w:p>
    <w:p w:rsidR="00B8014E" w:rsidRDefault="00B8014E" w:rsidP="009C2E9A">
      <w:pPr>
        <w:pStyle w:val="NoSpacing"/>
        <w:jc w:val="both"/>
      </w:pPr>
    </w:p>
    <w:p w:rsidR="00B8014E" w:rsidRDefault="00B8014E" w:rsidP="009C2E9A">
      <w:pPr>
        <w:pStyle w:val="NoSpacing"/>
        <w:jc w:val="both"/>
      </w:pPr>
    </w:p>
    <w:p w:rsidR="00F81C01" w:rsidRDefault="00F81C01" w:rsidP="009C2E9A">
      <w:pPr>
        <w:pStyle w:val="NoSpacing"/>
        <w:jc w:val="both"/>
      </w:pPr>
      <w:r>
        <w:t>KEMIJSKI PROCESI PRI STVARANJU ATP</w:t>
      </w:r>
    </w:p>
    <w:p w:rsidR="00F81C01" w:rsidRDefault="00F81C01" w:rsidP="007D48F2">
      <w:pPr>
        <w:pStyle w:val="NoSpacing"/>
        <w:numPr>
          <w:ilvl w:val="0"/>
          <w:numId w:val="14"/>
        </w:numPr>
        <w:jc w:val="both"/>
      </w:pPr>
      <w:r>
        <w:t>Prije nego što dospiju do stanica gotovo svi ugljikohidrati u tijelu se pretvore u glukozu, bjelančevine u aminokiseline, a masti u masne kiseline.</w:t>
      </w:r>
    </w:p>
    <w:p w:rsidR="00F81C01" w:rsidRDefault="00F81C01" w:rsidP="007D48F2">
      <w:pPr>
        <w:pStyle w:val="NoSpacing"/>
        <w:numPr>
          <w:ilvl w:val="0"/>
          <w:numId w:val="14"/>
        </w:numPr>
        <w:jc w:val="both"/>
      </w:pPr>
      <w:r>
        <w:t>Kad ATP otpušta svoju energiju, odvaja se radikal fosforne kiseline pa nastaje adenozin-difosfat (ADP). Energija koja potječe od staničnih hranjivih tvari potiče zatim ponovno spajanje ADP i fosforne kiseline pri čemu nastaje novi ATP i taj proces se neprekidno ponavlja.</w:t>
      </w:r>
    </w:p>
    <w:p w:rsidR="00F81C01" w:rsidRDefault="00F81C01" w:rsidP="007D48F2">
      <w:pPr>
        <w:pStyle w:val="NoSpacing"/>
        <w:numPr>
          <w:ilvl w:val="0"/>
          <w:numId w:val="14"/>
        </w:numPr>
        <w:jc w:val="both"/>
      </w:pPr>
      <w:r w:rsidRPr="007D48F2">
        <w:rPr>
          <w:u w:val="single"/>
        </w:rPr>
        <w:t xml:space="preserve">Glikoliza </w:t>
      </w:r>
      <w:r>
        <w:t>– proces u kojem je glukoza u stanici izložena djelovanju citoplazmatskih enzima koji je pretvaraju u pirogrožđanu kiselinu.</w:t>
      </w:r>
    </w:p>
    <w:p w:rsidR="00F81C01" w:rsidRDefault="00F81C01" w:rsidP="007D48F2">
      <w:pPr>
        <w:pStyle w:val="NoSpacing"/>
        <w:numPr>
          <w:ilvl w:val="0"/>
          <w:numId w:val="14"/>
        </w:numPr>
        <w:jc w:val="both"/>
      </w:pPr>
      <w:r>
        <w:t xml:space="preserve">Pirogrožđana kiselina, masne kiseline i aminokiseline se u mitohondrijskom matriksu pretvaraju u svoj </w:t>
      </w:r>
      <w:r w:rsidRPr="007D48F2">
        <w:rPr>
          <w:u w:val="single"/>
        </w:rPr>
        <w:t>acetil-CoA</w:t>
      </w:r>
      <w:r>
        <w:t xml:space="preserve">. Zatim niz enzima mitohondrijskog matriksa djeluje na taj spoj koji se razgrađuje na svoje sastavne dijelove vodikove atome i CO2 u procesu koji se zove </w:t>
      </w:r>
      <w:r w:rsidRPr="007D48F2">
        <w:rPr>
          <w:u w:val="single"/>
        </w:rPr>
        <w:t>ciklus limunske kiseline ili Krebsov ciklus</w:t>
      </w:r>
      <w:r>
        <w:t>.</w:t>
      </w:r>
      <w:r w:rsidR="007D48F2">
        <w:t xml:space="preserve"> </w:t>
      </w:r>
    </w:p>
    <w:p w:rsidR="007D48F2" w:rsidRDefault="007D48F2" w:rsidP="007D48F2">
      <w:pPr>
        <w:pStyle w:val="NoSpacing"/>
        <w:jc w:val="both"/>
      </w:pPr>
    </w:p>
    <w:p w:rsidR="007D48F2" w:rsidRDefault="007D48F2" w:rsidP="007D48F2">
      <w:pPr>
        <w:pStyle w:val="NoSpacing"/>
        <w:jc w:val="both"/>
      </w:pPr>
      <w:r>
        <w:t>AMEBOIDNO STANIČNO GIBANJE</w:t>
      </w:r>
      <w:r w:rsidR="00FE541C">
        <w:t xml:space="preserve"> </w:t>
      </w:r>
      <w:r w:rsidR="00FE541C">
        <w:sym w:font="Wingdings" w:char="F0E0"/>
      </w:r>
      <w:r w:rsidR="00FE541C">
        <w:t xml:space="preserve"> kretanje čitave stanice u odnosu na njezinu okolicu (npr.kretanje leukocita kroz tkiva). Pseudopodij se ispruži daleko od staničnog tijela i pričvrsti se za novo okolno tkivo, a preostali dio stanice se pomiče prema pseudopodiju.</w:t>
      </w:r>
    </w:p>
    <w:p w:rsidR="00FE541C" w:rsidRDefault="00FE541C" w:rsidP="007D48F2">
      <w:pPr>
        <w:pStyle w:val="NoSpacing"/>
        <w:jc w:val="both"/>
      </w:pPr>
      <w:r w:rsidRPr="00FE541C">
        <w:rPr>
          <w:u w:val="single"/>
        </w:rPr>
        <w:t>Kemotaksija</w:t>
      </w:r>
      <w:r>
        <w:t xml:space="preserve"> – pojavljivanje određenih kemijskih tvari u tkivima što uzrokuje ameboidno gibanje.</w:t>
      </w:r>
    </w:p>
    <w:p w:rsidR="00FE541C" w:rsidRDefault="00FE541C" w:rsidP="007D48F2">
      <w:pPr>
        <w:pStyle w:val="NoSpacing"/>
        <w:jc w:val="both"/>
      </w:pPr>
    </w:p>
    <w:p w:rsidR="00FE541C" w:rsidRDefault="00FE541C" w:rsidP="007D48F2">
      <w:pPr>
        <w:pStyle w:val="NoSpacing"/>
        <w:jc w:val="both"/>
      </w:pPr>
      <w:r>
        <w:t xml:space="preserve">CILIJARNO GIBANJE </w:t>
      </w:r>
      <w:r>
        <w:sym w:font="Wingdings" w:char="F0E0"/>
      </w:r>
      <w:r>
        <w:t xml:space="preserve"> treperenje cilija na staničnoj površini (na unutrašnjim površinama dišnih puteva i jajovoda).</w:t>
      </w:r>
    </w:p>
    <w:p w:rsidR="00AA4279" w:rsidRPr="00696480" w:rsidRDefault="00AA4279" w:rsidP="007D48F2">
      <w:pPr>
        <w:pStyle w:val="NoSpacing"/>
        <w:jc w:val="both"/>
        <w:rPr>
          <w:sz w:val="28"/>
          <w:szCs w:val="28"/>
        </w:rPr>
      </w:pPr>
    </w:p>
    <w:p w:rsidR="00AA4279" w:rsidRPr="00696480" w:rsidRDefault="00AA4279" w:rsidP="007D48F2">
      <w:pPr>
        <w:pStyle w:val="NoSpacing"/>
        <w:jc w:val="both"/>
        <w:rPr>
          <w:b/>
          <w:sz w:val="28"/>
          <w:szCs w:val="28"/>
          <w:u w:val="single"/>
        </w:rPr>
      </w:pPr>
      <w:r w:rsidRPr="00696480">
        <w:rPr>
          <w:b/>
          <w:sz w:val="28"/>
          <w:szCs w:val="28"/>
          <w:u w:val="single"/>
        </w:rPr>
        <w:t>PRIJENOS KROZ STANIČNU MEMBRANU</w:t>
      </w:r>
    </w:p>
    <w:p w:rsidR="0075301E" w:rsidRPr="00696480" w:rsidRDefault="0075301E" w:rsidP="007D48F2">
      <w:pPr>
        <w:pStyle w:val="NoSpacing"/>
        <w:jc w:val="both"/>
        <w:rPr>
          <w:sz w:val="28"/>
          <w:szCs w:val="28"/>
        </w:rPr>
      </w:pPr>
    </w:p>
    <w:p w:rsidR="0075301E" w:rsidRDefault="0075301E" w:rsidP="007D48F2">
      <w:pPr>
        <w:pStyle w:val="NoSpacing"/>
        <w:jc w:val="both"/>
      </w:pPr>
      <w:r>
        <w:t>Prijenosne bjelančevine – one koje prolaze kroz membranu.</w:t>
      </w:r>
    </w:p>
    <w:p w:rsidR="0075301E" w:rsidRDefault="0075301E" w:rsidP="007D48F2">
      <w:pPr>
        <w:pStyle w:val="NoSpacing"/>
        <w:jc w:val="both"/>
      </w:pPr>
      <w:r>
        <w:t>Bjelančevinski kanali – one bjelančevine koje kroz čitavu molekulu imaju vodene prostore.</w:t>
      </w:r>
    </w:p>
    <w:p w:rsidR="0075301E" w:rsidRDefault="0075301E" w:rsidP="007D48F2">
      <w:pPr>
        <w:pStyle w:val="NoSpacing"/>
        <w:jc w:val="both"/>
      </w:pPr>
      <w:r>
        <w:t>Bjelančevinski nosači – one bjelančevine koje se vežu sa tvarima koje se moraju prenijeti</w:t>
      </w:r>
      <w:r w:rsidR="00AE357D">
        <w:t>.</w:t>
      </w:r>
    </w:p>
    <w:p w:rsidR="00AE357D" w:rsidRDefault="00AE357D" w:rsidP="007D48F2">
      <w:pPr>
        <w:pStyle w:val="NoSpacing"/>
        <w:jc w:val="both"/>
      </w:pPr>
    </w:p>
    <w:p w:rsidR="00AE357D" w:rsidRDefault="00AE357D" w:rsidP="007D48F2">
      <w:pPr>
        <w:pStyle w:val="NoSpacing"/>
        <w:jc w:val="both"/>
      </w:pPr>
      <w:r w:rsidRPr="004D04BF">
        <w:rPr>
          <w:b/>
          <w:sz w:val="24"/>
          <w:szCs w:val="24"/>
          <w:u w:val="single"/>
        </w:rPr>
        <w:t>DIFUZIJA (pasivni prijenos)</w:t>
      </w:r>
      <w:r>
        <w:t xml:space="preserve"> – prolaženje pojedinih molekula tvari kroz međumolekularne prostore u membrani ili u spoju s bjelančevinskim nosačem</w:t>
      </w:r>
      <w:r w:rsidR="00696480">
        <w:t xml:space="preserve"> iz područja veće koncentracije u područje manje koncentracije</w:t>
      </w:r>
      <w:r>
        <w:t>.</w:t>
      </w:r>
      <w:r w:rsidR="00696480">
        <w:t xml:space="preserve"> Ovisi o topljivosti tvari u membrani, debljini membrane i koncentracijskom gradijentu.</w:t>
      </w:r>
    </w:p>
    <w:p w:rsidR="00696480" w:rsidRDefault="00696480" w:rsidP="007D48F2">
      <w:pPr>
        <w:pStyle w:val="NoSpacing"/>
        <w:jc w:val="both"/>
        <w:rPr>
          <w:b/>
        </w:rPr>
      </w:pPr>
    </w:p>
    <w:p w:rsidR="004D04BF" w:rsidRDefault="004D04BF" w:rsidP="007D48F2">
      <w:pPr>
        <w:pStyle w:val="NoSpacing"/>
        <w:jc w:val="both"/>
      </w:pPr>
      <w:r w:rsidRPr="004D04BF">
        <w:rPr>
          <w:b/>
        </w:rPr>
        <w:t>1.JEDNOSTAVNA DIFUZIJA</w:t>
      </w:r>
      <w:r>
        <w:t xml:space="preserve"> – molekularno kinetičko gibanje molekula i iona kroz membranske otvore, pri čemu nije nužno vezanje s bjelančevinastim nosačem.</w:t>
      </w:r>
    </w:p>
    <w:p w:rsidR="004D04BF" w:rsidRDefault="004D04BF" w:rsidP="007D48F2">
      <w:pPr>
        <w:pStyle w:val="NoSpacing"/>
        <w:jc w:val="both"/>
      </w:pPr>
      <w:r>
        <w:t>a)</w:t>
      </w:r>
      <w:r w:rsidRPr="004D04BF">
        <w:rPr>
          <w:u w:val="single"/>
        </w:rPr>
        <w:t>Jednostavna difuzija kroz lipidni dvosloj:</w:t>
      </w:r>
    </w:p>
    <w:p w:rsidR="004D04BF" w:rsidRDefault="004D04BF" w:rsidP="004D04BF">
      <w:pPr>
        <w:pStyle w:val="NoSpacing"/>
        <w:numPr>
          <w:ilvl w:val="0"/>
          <w:numId w:val="15"/>
        </w:numPr>
        <w:jc w:val="both"/>
      </w:pPr>
      <w:r w:rsidRPr="004D04BF">
        <w:rPr>
          <w:u w:val="single"/>
        </w:rPr>
        <w:t>Tvari topljive u lipidima</w:t>
      </w:r>
      <w:r>
        <w:t xml:space="preserve"> (kisik, dušik, ugljikov dioksid, alkohol) – vrlo topljivi u lipidima te se otapaju u lipidnom dvosloju i difundiraju kroz staničnu membranu.</w:t>
      </w:r>
    </w:p>
    <w:p w:rsidR="004D04BF" w:rsidRDefault="004D04BF" w:rsidP="004D04BF">
      <w:pPr>
        <w:pStyle w:val="NoSpacing"/>
        <w:numPr>
          <w:ilvl w:val="0"/>
          <w:numId w:val="15"/>
        </w:numPr>
        <w:jc w:val="both"/>
      </w:pPr>
      <w:r w:rsidRPr="004D04BF">
        <w:rPr>
          <w:u w:val="single"/>
        </w:rPr>
        <w:t>Tvari netopljive u lipidima</w:t>
      </w:r>
      <w:r>
        <w:t xml:space="preserve"> (voda) – prolaz kroz bjelančevinske kanale.</w:t>
      </w:r>
    </w:p>
    <w:p w:rsidR="004D04BF" w:rsidRDefault="004D04BF" w:rsidP="004D04BF">
      <w:pPr>
        <w:pStyle w:val="NoSpacing"/>
        <w:numPr>
          <w:ilvl w:val="0"/>
          <w:numId w:val="15"/>
        </w:numPr>
        <w:jc w:val="both"/>
      </w:pPr>
      <w:r w:rsidRPr="004D04BF">
        <w:rPr>
          <w:u w:val="single"/>
        </w:rPr>
        <w:t>Nemogućnost difuzije kroz lipidni dvosloj</w:t>
      </w:r>
      <w:r>
        <w:t xml:space="preserve"> (ioni) – zbog električnog naboja kojim vežu vodu te nastaju veliki hidrirani ioni, preveliki za prodiranje, tezbog međudjelovanja električnog naboja iona i naboja lipida. Glukoza je slabo propusna zbog veličine molekule.</w:t>
      </w:r>
    </w:p>
    <w:p w:rsidR="004D04BF" w:rsidRDefault="004D04BF" w:rsidP="007D48F2">
      <w:pPr>
        <w:pStyle w:val="NoSpacing"/>
        <w:jc w:val="both"/>
      </w:pPr>
      <w:r>
        <w:t>b)</w:t>
      </w:r>
      <w:r w:rsidRPr="00696480">
        <w:rPr>
          <w:u w:val="single"/>
        </w:rPr>
        <w:t>Jednostavna difuzija kroz bjelančevinske kanale:</w:t>
      </w:r>
    </w:p>
    <w:p w:rsidR="00696480" w:rsidRDefault="00696480" w:rsidP="00696480">
      <w:pPr>
        <w:pStyle w:val="NoSpacing"/>
        <w:numPr>
          <w:ilvl w:val="0"/>
          <w:numId w:val="16"/>
        </w:numPr>
        <w:jc w:val="both"/>
      </w:pPr>
      <w:r>
        <w:t>Selektivna propusnost (npr. Natrijski kanali – vrlo negativno nabijeni)</w:t>
      </w:r>
    </w:p>
    <w:p w:rsidR="00696480" w:rsidRDefault="00696480" w:rsidP="00696480">
      <w:pPr>
        <w:pStyle w:val="NoSpacing"/>
        <w:numPr>
          <w:ilvl w:val="0"/>
          <w:numId w:val="16"/>
        </w:numPr>
        <w:jc w:val="both"/>
      </w:pPr>
      <w:r>
        <w:t>Otvaranje i zatvaranje vrata – zbog nadziranja propusnosti (pomoću napona i pomoću liganda – otvaraju se samo kada se s bjelančevinom veže neka druga molekula (ligand))</w:t>
      </w:r>
    </w:p>
    <w:p w:rsidR="004D04BF" w:rsidRDefault="004D04BF" w:rsidP="007D48F2">
      <w:pPr>
        <w:pStyle w:val="NoSpacing"/>
        <w:jc w:val="both"/>
      </w:pPr>
    </w:p>
    <w:p w:rsidR="004D04BF" w:rsidRDefault="004D04BF" w:rsidP="007D48F2">
      <w:pPr>
        <w:pStyle w:val="NoSpacing"/>
        <w:jc w:val="both"/>
      </w:pPr>
      <w:r w:rsidRPr="00696480">
        <w:rPr>
          <w:b/>
        </w:rPr>
        <w:t>2.OLAKŠANA DIFUZIJA</w:t>
      </w:r>
      <w:r w:rsidR="00696480" w:rsidRPr="00696480">
        <w:rPr>
          <w:b/>
        </w:rPr>
        <w:t xml:space="preserve"> </w:t>
      </w:r>
      <w:r w:rsidR="00696480">
        <w:t>(difuzija posredovana nosačem)</w:t>
      </w:r>
      <w:r>
        <w:t xml:space="preserve"> – nužno međudjelovanje molekula i iona s bjelančevinastim nosačem koji im pomaže da prođu kroz membranu tak</w:t>
      </w:r>
      <w:r w:rsidR="00696480">
        <w:t>o da se s njima kemijski poveže. Na taj način prenose se većina aminokiselina i glukoza (koju ponaže prenjeti inzulin).</w:t>
      </w:r>
    </w:p>
    <w:p w:rsidR="00696480" w:rsidRDefault="00696480" w:rsidP="007D48F2">
      <w:pPr>
        <w:pStyle w:val="NoSpacing"/>
        <w:jc w:val="both"/>
      </w:pPr>
      <w:r w:rsidRPr="00696480">
        <w:rPr>
          <w:u w:val="single"/>
        </w:rPr>
        <w:lastRenderedPageBreak/>
        <w:t>Neto-difuzija</w:t>
      </w:r>
      <w:r>
        <w:t xml:space="preserve"> – razlika između ukupne količine tvari koja difundira u oba smjera.</w:t>
      </w:r>
    </w:p>
    <w:p w:rsidR="00696480" w:rsidRPr="000B18EE" w:rsidRDefault="00696480" w:rsidP="007D48F2">
      <w:pPr>
        <w:pStyle w:val="NoSpacing"/>
        <w:jc w:val="both"/>
        <w:rPr>
          <w:rFonts w:cstheme="minorHAnsi"/>
        </w:rPr>
      </w:pPr>
      <w:r w:rsidRPr="000B18EE">
        <w:rPr>
          <w:rFonts w:cstheme="minorHAnsi"/>
          <w:b/>
          <w:sz w:val="24"/>
          <w:szCs w:val="24"/>
          <w:u w:val="single"/>
        </w:rPr>
        <w:t>OSMOZA</w:t>
      </w:r>
      <w:r w:rsidRPr="000B18EE">
        <w:rPr>
          <w:rFonts w:cstheme="minorHAnsi"/>
        </w:rPr>
        <w:t xml:space="preserve"> </w:t>
      </w:r>
      <w:r w:rsidR="000B18EE" w:rsidRPr="000B18EE">
        <w:rPr>
          <w:rFonts w:cstheme="minorHAnsi"/>
        </w:rPr>
        <w:sym w:font="Wingdings" w:char="F0E0"/>
      </w:r>
      <w:r w:rsidRPr="000B18EE">
        <w:rPr>
          <w:rFonts w:cstheme="minorHAnsi"/>
        </w:rPr>
        <w:t xml:space="preserve"> gibanje vode kroz polupropusnu membranu</w:t>
      </w:r>
      <w:r w:rsidR="000B18EE" w:rsidRPr="000B18EE">
        <w:rPr>
          <w:rFonts w:cstheme="minorHAnsi"/>
        </w:rPr>
        <w:t>.</w:t>
      </w:r>
    </w:p>
    <w:p w:rsidR="000B18EE" w:rsidRPr="000B18EE" w:rsidRDefault="000B18EE" w:rsidP="007D48F2">
      <w:pPr>
        <w:pStyle w:val="NoSpacing"/>
        <w:jc w:val="both"/>
        <w:rPr>
          <w:rFonts w:cstheme="minorHAnsi"/>
        </w:rPr>
      </w:pPr>
      <w:r w:rsidRPr="000B18EE">
        <w:rPr>
          <w:rFonts w:cstheme="minorHAnsi"/>
        </w:rPr>
        <w:t>Selektivna propusnost membrane – propusna za vodu ali ne i za otopljenu tvar.</w:t>
      </w:r>
    </w:p>
    <w:p w:rsidR="000B18EE" w:rsidRPr="000B18EE" w:rsidRDefault="000B18EE" w:rsidP="00A5421F">
      <w:pPr>
        <w:pStyle w:val="NoSpacing"/>
        <w:numPr>
          <w:ilvl w:val="0"/>
          <w:numId w:val="17"/>
        </w:numPr>
        <w:jc w:val="both"/>
        <w:rPr>
          <w:rFonts w:cstheme="minorHAnsi"/>
        </w:rPr>
      </w:pPr>
      <w:r w:rsidRPr="000B18EE">
        <w:rPr>
          <w:rFonts w:cstheme="minorHAnsi"/>
          <w:u w:val="single"/>
        </w:rPr>
        <w:t>Osmotski tlak</w:t>
      </w:r>
      <w:r w:rsidRPr="000B18EE">
        <w:rPr>
          <w:rFonts w:cstheme="minorHAnsi"/>
        </w:rPr>
        <w:t xml:space="preserve"> – tlak potreban za potpuno zaustavljanje osmoze.</w:t>
      </w:r>
    </w:p>
    <w:p w:rsidR="000B18EE" w:rsidRPr="000B18EE" w:rsidRDefault="000B18EE" w:rsidP="00A5421F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B18EE">
        <w:rPr>
          <w:rFonts w:asciiTheme="minorHAnsi" w:hAnsiTheme="minorHAnsi" w:cstheme="minorHAnsi"/>
          <w:bCs/>
          <w:sz w:val="22"/>
          <w:szCs w:val="22"/>
          <w:u w:val="single"/>
        </w:rPr>
        <w:t>Osmolalnost</w:t>
      </w:r>
      <w:r w:rsidRPr="000B18EE">
        <w:rPr>
          <w:rFonts w:asciiTheme="minorHAnsi" w:hAnsiTheme="minorHAnsi" w:cstheme="minorHAnsi"/>
          <w:bCs/>
          <w:sz w:val="22"/>
          <w:szCs w:val="22"/>
        </w:rPr>
        <w:t xml:space="preserve"> –</w:t>
      </w:r>
      <w:r w:rsidRPr="000B18EE">
        <w:rPr>
          <w:rFonts w:asciiTheme="minorHAnsi" w:hAnsiTheme="minorHAnsi" w:cstheme="minorHAnsi"/>
          <w:sz w:val="22"/>
          <w:szCs w:val="22"/>
        </w:rPr>
        <w:t>odnos broja otopljenih čestica u različitim otopinama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B18EE" w:rsidRPr="000B18EE" w:rsidRDefault="000B18EE" w:rsidP="00A5421F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B18EE">
        <w:rPr>
          <w:rFonts w:asciiTheme="minorHAnsi" w:hAnsiTheme="minorHAnsi" w:cstheme="minorHAnsi"/>
          <w:bCs/>
          <w:sz w:val="22"/>
          <w:szCs w:val="22"/>
          <w:u w:val="single"/>
        </w:rPr>
        <w:t>Izoosmotsk</w:t>
      </w:r>
      <w:r>
        <w:rPr>
          <w:rFonts w:asciiTheme="minorHAnsi" w:hAnsiTheme="minorHAnsi" w:cstheme="minorHAnsi"/>
          <w:bCs/>
          <w:sz w:val="22"/>
          <w:szCs w:val="22"/>
          <w:u w:val="single"/>
        </w:rPr>
        <w:t>e</w:t>
      </w:r>
      <w:r w:rsidRPr="000B18EE">
        <w:rPr>
          <w:rFonts w:asciiTheme="minorHAnsi" w:hAnsiTheme="minorHAnsi" w:cstheme="minorHAnsi"/>
          <w:sz w:val="22"/>
          <w:szCs w:val="22"/>
          <w:u w:val="single"/>
        </w:rPr>
        <w:t xml:space="preserve"> otopin</w:t>
      </w:r>
      <w:r>
        <w:rPr>
          <w:rFonts w:asciiTheme="minorHAnsi" w:hAnsiTheme="minorHAnsi" w:cstheme="minorHAnsi"/>
          <w:sz w:val="22"/>
          <w:szCs w:val="22"/>
          <w:u w:val="single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- imaju</w:t>
      </w:r>
      <w:r w:rsidRPr="000B18EE">
        <w:rPr>
          <w:rFonts w:asciiTheme="minorHAnsi" w:hAnsiTheme="minorHAnsi" w:cstheme="minorHAnsi"/>
          <w:sz w:val="22"/>
          <w:szCs w:val="22"/>
        </w:rPr>
        <w:t xml:space="preserve"> jednak broj otopljenih čestica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B18EE" w:rsidRPr="000B18EE" w:rsidRDefault="000B18EE" w:rsidP="00A5421F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B18EE">
        <w:rPr>
          <w:rFonts w:asciiTheme="minorHAnsi" w:hAnsiTheme="minorHAnsi" w:cstheme="minorHAnsi"/>
          <w:bCs/>
          <w:sz w:val="22"/>
          <w:szCs w:val="22"/>
          <w:u w:val="single"/>
        </w:rPr>
        <w:t>Hiperosmotska</w:t>
      </w:r>
      <w:r w:rsidRPr="000B18EE">
        <w:rPr>
          <w:rFonts w:asciiTheme="minorHAnsi" w:hAnsiTheme="minorHAnsi" w:cstheme="minorHAnsi"/>
          <w:sz w:val="22"/>
          <w:szCs w:val="22"/>
          <w:u w:val="single"/>
        </w:rPr>
        <w:t xml:space="preserve"> otopina</w:t>
      </w:r>
      <w:r w:rsidRPr="000B18E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0B18EE">
        <w:rPr>
          <w:rFonts w:asciiTheme="minorHAnsi" w:hAnsiTheme="minorHAnsi" w:cstheme="minorHAnsi"/>
          <w:sz w:val="22"/>
          <w:szCs w:val="22"/>
        </w:rPr>
        <w:t>ima veći broj otopljenih čestica od druge otopine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B18EE" w:rsidRPr="000B18EE" w:rsidRDefault="000B18EE" w:rsidP="00A5421F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B18EE">
        <w:rPr>
          <w:rFonts w:asciiTheme="minorHAnsi" w:hAnsiTheme="minorHAnsi" w:cstheme="minorHAnsi"/>
          <w:bCs/>
          <w:sz w:val="22"/>
          <w:szCs w:val="22"/>
          <w:u w:val="single"/>
        </w:rPr>
        <w:t xml:space="preserve">Hipoosmotska </w:t>
      </w:r>
      <w:r w:rsidRPr="000B18EE">
        <w:rPr>
          <w:rFonts w:asciiTheme="minorHAnsi" w:hAnsiTheme="minorHAnsi" w:cstheme="minorHAnsi"/>
          <w:sz w:val="22"/>
          <w:szCs w:val="22"/>
          <w:u w:val="single"/>
        </w:rPr>
        <w:t xml:space="preserve"> otopina</w:t>
      </w:r>
      <w:r>
        <w:rPr>
          <w:rFonts w:asciiTheme="minorHAnsi" w:hAnsiTheme="minorHAnsi" w:cstheme="minorHAnsi"/>
          <w:sz w:val="22"/>
          <w:szCs w:val="22"/>
        </w:rPr>
        <w:t xml:space="preserve"> -</w:t>
      </w:r>
      <w:r w:rsidRPr="000B18EE">
        <w:rPr>
          <w:rFonts w:asciiTheme="minorHAnsi" w:hAnsiTheme="minorHAnsi" w:cstheme="minorHAnsi"/>
          <w:sz w:val="22"/>
          <w:szCs w:val="22"/>
        </w:rPr>
        <w:t xml:space="preserve"> ima manji broj otopljenih čestica od druge otopine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B18EE" w:rsidRPr="000B18EE" w:rsidRDefault="000B18EE" w:rsidP="00A5421F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B18EE">
        <w:rPr>
          <w:rFonts w:asciiTheme="minorHAnsi" w:hAnsiTheme="minorHAnsi" w:cstheme="minorHAnsi"/>
          <w:bCs/>
          <w:sz w:val="22"/>
          <w:szCs w:val="22"/>
          <w:u w:val="single"/>
        </w:rPr>
        <w:t>Tonicitet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B18EE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B18EE">
        <w:rPr>
          <w:rFonts w:asciiTheme="minorHAnsi" w:hAnsiTheme="minorHAnsi" w:cstheme="minorHAnsi"/>
          <w:sz w:val="22"/>
          <w:szCs w:val="22"/>
        </w:rPr>
        <w:t>odgovor tkiva (stanica) na otopinu u kojoj se nalaze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B18EE" w:rsidRPr="000B18EE" w:rsidRDefault="000B18EE" w:rsidP="00A5421F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B18EE">
        <w:rPr>
          <w:rFonts w:asciiTheme="minorHAnsi" w:hAnsiTheme="minorHAnsi" w:cstheme="minorHAnsi"/>
          <w:bCs/>
          <w:sz w:val="22"/>
          <w:szCs w:val="22"/>
          <w:u w:val="single"/>
        </w:rPr>
        <w:t>Izotoničnost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B18EE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B18EE">
        <w:rPr>
          <w:rFonts w:asciiTheme="minorHAnsi" w:hAnsiTheme="minorHAnsi" w:cstheme="minorHAnsi"/>
          <w:sz w:val="22"/>
          <w:szCs w:val="22"/>
        </w:rPr>
        <w:t>stanica je normalna u otopini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B18EE" w:rsidRPr="000B18EE" w:rsidRDefault="000B18EE" w:rsidP="00A5421F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B18EE">
        <w:rPr>
          <w:rFonts w:asciiTheme="minorHAnsi" w:hAnsiTheme="minorHAnsi" w:cstheme="minorHAnsi"/>
          <w:bCs/>
          <w:sz w:val="22"/>
          <w:szCs w:val="22"/>
          <w:u w:val="single"/>
        </w:rPr>
        <w:t>Hipertoničnost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B18EE">
        <w:rPr>
          <w:rFonts w:asciiTheme="minorHAnsi" w:hAnsiTheme="minorHAnsi" w:cstheme="minorHAnsi"/>
          <w:sz w:val="22"/>
          <w:szCs w:val="22"/>
        </w:rPr>
        <w:t>–s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B18EE">
        <w:rPr>
          <w:rFonts w:asciiTheme="minorHAnsi" w:hAnsiTheme="minorHAnsi" w:cstheme="minorHAnsi"/>
          <w:sz w:val="22"/>
          <w:szCs w:val="22"/>
        </w:rPr>
        <w:t>tanica se smežura u otopini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696480" w:rsidRDefault="000B18EE" w:rsidP="00A5421F">
      <w:pPr>
        <w:pStyle w:val="NoSpacing"/>
        <w:numPr>
          <w:ilvl w:val="0"/>
          <w:numId w:val="17"/>
        </w:numPr>
        <w:jc w:val="both"/>
        <w:rPr>
          <w:rFonts w:cstheme="minorHAnsi"/>
        </w:rPr>
      </w:pPr>
      <w:r w:rsidRPr="000B18EE">
        <w:rPr>
          <w:rFonts w:cstheme="minorHAnsi"/>
          <w:bCs/>
          <w:u w:val="single"/>
        </w:rPr>
        <w:t>Hipotoničnost</w:t>
      </w:r>
      <w:r>
        <w:rPr>
          <w:rFonts w:cstheme="minorHAnsi"/>
          <w:bCs/>
        </w:rPr>
        <w:t xml:space="preserve"> </w:t>
      </w:r>
      <w:r w:rsidRPr="000B18EE">
        <w:rPr>
          <w:rFonts w:cstheme="minorHAnsi"/>
        </w:rPr>
        <w:t>–</w:t>
      </w:r>
      <w:r>
        <w:rPr>
          <w:rFonts w:cstheme="minorHAnsi"/>
        </w:rPr>
        <w:t xml:space="preserve"> </w:t>
      </w:r>
      <w:r w:rsidRPr="000B18EE">
        <w:rPr>
          <w:rFonts w:cstheme="minorHAnsi"/>
        </w:rPr>
        <w:t>stanica bubri u otopini</w:t>
      </w:r>
      <w:r>
        <w:rPr>
          <w:rFonts w:cstheme="minorHAnsi"/>
        </w:rPr>
        <w:t>.</w:t>
      </w:r>
    </w:p>
    <w:p w:rsidR="00A5421F" w:rsidRDefault="00A5421F" w:rsidP="000B18EE">
      <w:pPr>
        <w:pStyle w:val="NoSpacing"/>
        <w:jc w:val="both"/>
        <w:rPr>
          <w:rFonts w:cstheme="minorHAnsi"/>
        </w:rPr>
      </w:pPr>
    </w:p>
    <w:p w:rsidR="00A5421F" w:rsidRDefault="00A5421F" w:rsidP="000B18EE">
      <w:pPr>
        <w:pStyle w:val="NoSpacing"/>
        <w:jc w:val="both"/>
        <w:rPr>
          <w:rFonts w:cstheme="minorHAnsi"/>
        </w:rPr>
      </w:pPr>
      <w:r w:rsidRPr="00A5421F">
        <w:rPr>
          <w:rFonts w:cstheme="minorHAnsi"/>
          <w:b/>
          <w:sz w:val="24"/>
          <w:szCs w:val="24"/>
          <w:u w:val="single"/>
        </w:rPr>
        <w:t>AKTIVNI PRIJENOS</w:t>
      </w:r>
      <w:r>
        <w:rPr>
          <w:rFonts w:cstheme="minorHAnsi"/>
        </w:rPr>
        <w:t xml:space="preserve"> – proces kojim se kroz staničnu membranu molekule ili ioni pomiču uzbrdo tj. Protiv koncentracijskog gradijenta.</w:t>
      </w:r>
    </w:p>
    <w:p w:rsidR="00A5421F" w:rsidRPr="00A5421F" w:rsidRDefault="00B8014E" w:rsidP="000B18EE">
      <w:pPr>
        <w:pStyle w:val="NoSpacing"/>
        <w:jc w:val="both"/>
        <w:rPr>
          <w:rFonts w:cstheme="minorHAnsi"/>
          <w:b/>
        </w:rPr>
      </w:pPr>
      <w:r>
        <w:rPr>
          <w:rFonts w:cstheme="minorHAnsi"/>
          <w:b/>
        </w:rPr>
        <w:t>1.</w:t>
      </w:r>
      <w:r w:rsidR="00A5421F" w:rsidRPr="00A5421F">
        <w:rPr>
          <w:rFonts w:cstheme="minorHAnsi"/>
          <w:b/>
        </w:rPr>
        <w:t xml:space="preserve">PRIMARNI AKTIVNI PRIJENOS </w:t>
      </w:r>
    </w:p>
    <w:p w:rsidR="00A5421F" w:rsidRDefault="00A5421F" w:rsidP="00A5421F">
      <w:pPr>
        <w:pStyle w:val="NoSpacing"/>
        <w:numPr>
          <w:ilvl w:val="0"/>
          <w:numId w:val="18"/>
        </w:numPr>
        <w:jc w:val="both"/>
        <w:rPr>
          <w:rFonts w:cstheme="minorHAnsi"/>
        </w:rPr>
      </w:pPr>
      <w:r>
        <w:rPr>
          <w:rFonts w:cstheme="minorHAnsi"/>
        </w:rPr>
        <w:t>Energija potječe izravno iz razgradnje ATP-a.</w:t>
      </w:r>
    </w:p>
    <w:p w:rsidR="00A5421F" w:rsidRDefault="00A5421F" w:rsidP="00A5421F">
      <w:pPr>
        <w:pStyle w:val="NoSpacing"/>
        <w:numPr>
          <w:ilvl w:val="0"/>
          <w:numId w:val="18"/>
        </w:numPr>
        <w:jc w:val="both"/>
        <w:rPr>
          <w:rFonts w:cstheme="minorHAnsi"/>
        </w:rPr>
      </w:pPr>
      <w:r>
        <w:rPr>
          <w:rFonts w:cstheme="minorHAnsi"/>
        </w:rPr>
        <w:t>Tako se prenose ioni natrija, kalija, kalcija, vodika, klora itd.</w:t>
      </w:r>
    </w:p>
    <w:p w:rsidR="00A5421F" w:rsidRDefault="00A5421F" w:rsidP="00A5421F">
      <w:pPr>
        <w:pStyle w:val="NoSpacing"/>
        <w:jc w:val="both"/>
        <w:rPr>
          <w:rFonts w:cstheme="minorHAnsi"/>
        </w:rPr>
      </w:pPr>
      <w:r w:rsidRPr="00A5421F">
        <w:rPr>
          <w:rFonts w:cstheme="minorHAnsi"/>
          <w:u w:val="single"/>
        </w:rPr>
        <w:t>Natrijsko-kalijska crpka</w:t>
      </w:r>
      <w:r>
        <w:rPr>
          <w:rFonts w:cstheme="minorHAnsi"/>
        </w:rPr>
        <w:t xml:space="preserve"> </w:t>
      </w:r>
      <w:r w:rsidRPr="00A5421F">
        <w:rPr>
          <w:rFonts w:cstheme="minorHAnsi"/>
        </w:rPr>
        <w:sym w:font="Wingdings" w:char="F0E0"/>
      </w:r>
      <w:r>
        <w:rPr>
          <w:rFonts w:cstheme="minorHAnsi"/>
        </w:rPr>
        <w:t xml:space="preserve"> prijenosni proces koji kroz staničnu membranu izbacuje natrijeve ione, a istodobno iz okoliša ubacuje u stanicu kalijeve ione. Bjelančevinski nosač je kompleks davaju zasebnih globularnih bjelančevina, s tim da veća bjelančevina ima na unutrašnjoj strani 3 receptorska mjesta za vezanje natrijevih iona, a na vanjskoj strani 2 receptorska mjesta za kalijeve ione.</w:t>
      </w:r>
    </w:p>
    <w:p w:rsidR="00A5421F" w:rsidRDefault="00A5421F" w:rsidP="00A5421F">
      <w:pPr>
        <w:pStyle w:val="Default"/>
      </w:pPr>
    </w:p>
    <w:p w:rsidR="00B8014E" w:rsidRPr="00B8014E" w:rsidRDefault="00B8014E" w:rsidP="00A5421F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2.</w:t>
      </w:r>
      <w:r w:rsidRPr="00B8014E">
        <w:rPr>
          <w:rFonts w:asciiTheme="minorHAnsi" w:hAnsiTheme="minorHAnsi" w:cstheme="minorHAnsi"/>
          <w:b/>
          <w:sz w:val="22"/>
          <w:szCs w:val="22"/>
        </w:rPr>
        <w:t>SEKUNDARNI AKTIVNI PRIJENOS</w:t>
      </w:r>
    </w:p>
    <w:p w:rsidR="00B8014E" w:rsidRDefault="00B8014E" w:rsidP="00B8014E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KOTRANSPORT – kada u prikladnim okolnostima difuzijska energija natrija zajedno s natrijem uvlači i druge tvari kroz staničnu membranu.</w:t>
      </w:r>
    </w:p>
    <w:p w:rsidR="00B8014E" w:rsidRPr="00B8014E" w:rsidRDefault="00B8014E" w:rsidP="00B8014E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KONTRATRANSPORT – tvar koja će se prenjeti nalazi se u stanici i mora se izbaciti iz nje uz pomoć bjelančevinastog nosača.</w:t>
      </w:r>
    </w:p>
    <w:p w:rsidR="00B8014E" w:rsidRDefault="00B8014E" w:rsidP="00A5421F">
      <w:pPr>
        <w:pStyle w:val="Default"/>
      </w:pPr>
    </w:p>
    <w:p w:rsidR="00B8014E" w:rsidRDefault="00A5421F" w:rsidP="00A5421F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A5421F">
        <w:rPr>
          <w:rFonts w:asciiTheme="minorHAnsi" w:hAnsiTheme="minorHAnsi" w:cstheme="minorHAnsi"/>
          <w:b/>
          <w:bCs/>
          <w:sz w:val="22"/>
          <w:szCs w:val="22"/>
        </w:rPr>
        <w:t>Veze među stanicama</w:t>
      </w:r>
    </w:p>
    <w:p w:rsidR="00A5421F" w:rsidRPr="00B8014E" w:rsidRDefault="00A5421F" w:rsidP="00B8014E">
      <w:pPr>
        <w:pStyle w:val="Defaul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B8014E">
        <w:rPr>
          <w:rFonts w:asciiTheme="minorHAnsi" w:hAnsiTheme="minorHAnsi" w:cstheme="minorHAnsi"/>
          <w:sz w:val="22"/>
          <w:szCs w:val="22"/>
        </w:rPr>
        <w:t>Gap junctions</w:t>
      </w:r>
      <w:r w:rsidR="00B8014E">
        <w:rPr>
          <w:rFonts w:asciiTheme="minorHAnsi" w:hAnsiTheme="minorHAnsi" w:cstheme="minorHAnsi"/>
          <w:sz w:val="22"/>
          <w:szCs w:val="22"/>
        </w:rPr>
        <w:t xml:space="preserve"> </w:t>
      </w:r>
      <w:r w:rsidRPr="00B8014E">
        <w:rPr>
          <w:rFonts w:asciiTheme="minorHAnsi" w:hAnsiTheme="minorHAnsi" w:cstheme="minorHAnsi"/>
          <w:sz w:val="22"/>
          <w:szCs w:val="22"/>
        </w:rPr>
        <w:t>(hidrofilni kanali za komunikaciju malim molekulama)</w:t>
      </w:r>
    </w:p>
    <w:p w:rsidR="00A5421F" w:rsidRPr="00B8014E" w:rsidRDefault="00A5421F" w:rsidP="00B8014E">
      <w:pPr>
        <w:pStyle w:val="Defaul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B8014E">
        <w:rPr>
          <w:rFonts w:asciiTheme="minorHAnsi" w:hAnsiTheme="minorHAnsi" w:cstheme="minorHAnsi"/>
          <w:sz w:val="22"/>
          <w:szCs w:val="22"/>
        </w:rPr>
        <w:t>Tight junctions</w:t>
      </w:r>
      <w:r w:rsidR="00B8014E">
        <w:rPr>
          <w:rFonts w:asciiTheme="minorHAnsi" w:hAnsiTheme="minorHAnsi" w:cstheme="minorHAnsi"/>
          <w:sz w:val="22"/>
          <w:szCs w:val="22"/>
        </w:rPr>
        <w:t xml:space="preserve"> </w:t>
      </w:r>
      <w:r w:rsidRPr="00B8014E">
        <w:rPr>
          <w:rFonts w:asciiTheme="minorHAnsi" w:hAnsiTheme="minorHAnsi" w:cstheme="minorHAnsi"/>
          <w:sz w:val="22"/>
          <w:szCs w:val="22"/>
        </w:rPr>
        <w:t>(zatvaranje veza –zonula occludens)</w:t>
      </w:r>
    </w:p>
    <w:p w:rsidR="00A5421F" w:rsidRPr="00B8014E" w:rsidRDefault="00A5421F" w:rsidP="00B8014E">
      <w:pPr>
        <w:pStyle w:val="Defaul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B8014E">
        <w:rPr>
          <w:rFonts w:asciiTheme="minorHAnsi" w:hAnsiTheme="minorHAnsi" w:cstheme="minorHAnsi"/>
          <w:sz w:val="22"/>
          <w:szCs w:val="22"/>
        </w:rPr>
        <w:t>Zonula adherensi dezmosomi</w:t>
      </w:r>
      <w:r w:rsidR="00B8014E">
        <w:rPr>
          <w:rFonts w:asciiTheme="minorHAnsi" w:hAnsiTheme="minorHAnsi" w:cstheme="minorHAnsi"/>
          <w:sz w:val="22"/>
          <w:szCs w:val="22"/>
        </w:rPr>
        <w:t xml:space="preserve"> </w:t>
      </w:r>
      <w:r w:rsidRPr="00B8014E">
        <w:rPr>
          <w:rFonts w:asciiTheme="minorHAnsi" w:hAnsiTheme="minorHAnsi" w:cstheme="minorHAnsi"/>
          <w:sz w:val="22"/>
          <w:szCs w:val="22"/>
        </w:rPr>
        <w:t>(stabilizacija strukturnih veza među stanicama)</w:t>
      </w:r>
    </w:p>
    <w:p w:rsidR="00A5421F" w:rsidRDefault="00A5421F" w:rsidP="00A5421F">
      <w:pPr>
        <w:pStyle w:val="NoSpacing"/>
        <w:jc w:val="both"/>
        <w:rPr>
          <w:rFonts w:cstheme="minorHAnsi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B13E7F" w:rsidRDefault="00B13E7F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</w:p>
    <w:p w:rsidR="00454972" w:rsidRPr="00454972" w:rsidRDefault="00B8014E" w:rsidP="00A5421F">
      <w:pPr>
        <w:pStyle w:val="NoSpacing"/>
        <w:jc w:val="both"/>
        <w:rPr>
          <w:rFonts w:cstheme="minorHAnsi"/>
          <w:b/>
          <w:sz w:val="28"/>
          <w:szCs w:val="28"/>
          <w:u w:val="single"/>
        </w:rPr>
      </w:pPr>
      <w:r w:rsidRPr="00454972">
        <w:rPr>
          <w:rFonts w:cstheme="minorHAnsi"/>
          <w:b/>
          <w:sz w:val="28"/>
          <w:szCs w:val="28"/>
          <w:u w:val="single"/>
        </w:rPr>
        <w:lastRenderedPageBreak/>
        <w:t>MEMBRANSKI I AKCIJSKI POTENCIJALI</w:t>
      </w:r>
    </w:p>
    <w:p w:rsidR="00454972" w:rsidRDefault="00454972" w:rsidP="0045497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454972" w:rsidRPr="00454972" w:rsidRDefault="00454972" w:rsidP="0045497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54972">
        <w:rPr>
          <w:rFonts w:asciiTheme="minorHAnsi" w:hAnsiTheme="minorHAnsi" w:cstheme="minorHAnsi"/>
          <w:sz w:val="22"/>
          <w:szCs w:val="22"/>
        </w:rPr>
        <w:t xml:space="preserve">Pasivna električna svojstva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54972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54972">
        <w:rPr>
          <w:rFonts w:asciiTheme="minorHAnsi" w:hAnsiTheme="minorHAnsi" w:cstheme="minorHAnsi"/>
          <w:sz w:val="22"/>
          <w:szCs w:val="22"/>
        </w:rPr>
        <w:t>kapacitet i provodljivost</w:t>
      </w:r>
    </w:p>
    <w:p w:rsidR="00454972" w:rsidRDefault="00454972" w:rsidP="00454972">
      <w:pPr>
        <w:pStyle w:val="NoSpacing"/>
        <w:rPr>
          <w:rFonts w:cstheme="minorHAnsi"/>
        </w:rPr>
      </w:pPr>
      <w:r w:rsidRPr="00454972">
        <w:rPr>
          <w:rFonts w:cstheme="minorHAnsi"/>
        </w:rPr>
        <w:t xml:space="preserve">Aktivna električna svojstva </w:t>
      </w:r>
      <w:r>
        <w:rPr>
          <w:rFonts w:cstheme="minorHAnsi"/>
        </w:rPr>
        <w:t xml:space="preserve"> </w:t>
      </w:r>
      <w:r w:rsidRPr="00454972">
        <w:rPr>
          <w:rFonts w:cstheme="minorHAnsi"/>
        </w:rPr>
        <w:t>–</w:t>
      </w:r>
      <w:r>
        <w:rPr>
          <w:rFonts w:cstheme="minorHAnsi"/>
        </w:rPr>
        <w:t xml:space="preserve"> </w:t>
      </w:r>
      <w:r w:rsidRPr="00454972">
        <w:rPr>
          <w:rFonts w:cstheme="minorHAnsi"/>
        </w:rPr>
        <w:t>naponski regulirani ionski kanali</w:t>
      </w:r>
    </w:p>
    <w:p w:rsidR="00B13E7F" w:rsidRPr="00454972" w:rsidRDefault="00B13E7F" w:rsidP="00454972">
      <w:pPr>
        <w:pStyle w:val="NoSpacing"/>
        <w:rPr>
          <w:rFonts w:cstheme="minorHAnsi"/>
        </w:rPr>
      </w:pPr>
    </w:p>
    <w:tbl>
      <w:tblPr>
        <w:tblStyle w:val="TableGrid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B13E7F" w:rsidTr="00B13E7F">
        <w:tc>
          <w:tcPr>
            <w:tcW w:w="2322" w:type="dxa"/>
          </w:tcPr>
          <w:p w:rsidR="00B13E7F" w:rsidRPr="00B13E7F" w:rsidRDefault="00B13E7F" w:rsidP="00454972">
            <w:pPr>
              <w:rPr>
                <w:b/>
              </w:rPr>
            </w:pPr>
            <w:r w:rsidRPr="00B13E7F">
              <w:rPr>
                <w:b/>
              </w:rPr>
              <w:t>Ionski kanal</w:t>
            </w:r>
          </w:p>
        </w:tc>
        <w:tc>
          <w:tcPr>
            <w:tcW w:w="2322" w:type="dxa"/>
          </w:tcPr>
          <w:p w:rsidR="00B13E7F" w:rsidRPr="00B13E7F" w:rsidRDefault="00B13E7F" w:rsidP="00454972">
            <w:pPr>
              <w:rPr>
                <w:b/>
              </w:rPr>
            </w:pPr>
            <w:r w:rsidRPr="00B13E7F">
              <w:rPr>
                <w:b/>
              </w:rPr>
              <w:t>Popustljivost za ione</w:t>
            </w:r>
          </w:p>
        </w:tc>
        <w:tc>
          <w:tcPr>
            <w:tcW w:w="2322" w:type="dxa"/>
          </w:tcPr>
          <w:p w:rsidR="00B13E7F" w:rsidRPr="00B13E7F" w:rsidRDefault="00B13E7F" w:rsidP="00454972">
            <w:pPr>
              <w:rPr>
                <w:b/>
              </w:rPr>
            </w:pPr>
            <w:r w:rsidRPr="00B13E7F">
              <w:rPr>
                <w:b/>
              </w:rPr>
              <w:t>Karakteristika</w:t>
            </w:r>
          </w:p>
        </w:tc>
        <w:tc>
          <w:tcPr>
            <w:tcW w:w="2322" w:type="dxa"/>
          </w:tcPr>
          <w:p w:rsidR="00B13E7F" w:rsidRPr="00B13E7F" w:rsidRDefault="00B13E7F" w:rsidP="00454972">
            <w:pPr>
              <w:rPr>
                <w:b/>
              </w:rPr>
            </w:pPr>
            <w:r w:rsidRPr="00B13E7F">
              <w:rPr>
                <w:b/>
              </w:rPr>
              <w:t>Funkcija</w:t>
            </w:r>
          </w:p>
        </w:tc>
      </w:tr>
      <w:tr w:rsidR="00B13E7F" w:rsidTr="00B13E7F">
        <w:tc>
          <w:tcPr>
            <w:tcW w:w="2322" w:type="dxa"/>
          </w:tcPr>
          <w:p w:rsidR="00B13E7F" w:rsidRDefault="00B13E7F" w:rsidP="00454972">
            <w:r>
              <w:t>Propusni kanal</w:t>
            </w:r>
          </w:p>
        </w:tc>
        <w:tc>
          <w:tcPr>
            <w:tcW w:w="2322" w:type="dxa"/>
          </w:tcPr>
          <w:p w:rsidR="00B13E7F" w:rsidRDefault="00B13E7F" w:rsidP="00454972">
            <w:r>
              <w:t>K+</w:t>
            </w:r>
          </w:p>
        </w:tc>
        <w:tc>
          <w:tcPr>
            <w:tcW w:w="2322" w:type="dxa"/>
          </w:tcPr>
          <w:p w:rsidR="00B13E7F" w:rsidRDefault="00B13E7F" w:rsidP="00454972">
            <w:r>
              <w:t>Stvara visok elektrokem ijski potencijal K+</w:t>
            </w:r>
          </w:p>
        </w:tc>
        <w:tc>
          <w:tcPr>
            <w:tcW w:w="2322" w:type="dxa"/>
          </w:tcPr>
          <w:p w:rsidR="00B13E7F" w:rsidRDefault="00B13E7F" w:rsidP="00454972">
            <w:r>
              <w:t>Uvelike odgovoran za potencijal u mirovanju</w:t>
            </w:r>
          </w:p>
        </w:tc>
      </w:tr>
      <w:tr w:rsidR="00B13E7F" w:rsidTr="00B13E7F">
        <w:tc>
          <w:tcPr>
            <w:tcW w:w="2322" w:type="dxa"/>
          </w:tcPr>
          <w:p w:rsidR="00B13E7F" w:rsidRDefault="00B13E7F" w:rsidP="00454972">
            <w:r>
              <w:t>Naponski reguliran Na+ kanal</w:t>
            </w:r>
          </w:p>
        </w:tc>
        <w:tc>
          <w:tcPr>
            <w:tcW w:w="2322" w:type="dxa"/>
          </w:tcPr>
          <w:p w:rsidR="00B13E7F" w:rsidRDefault="00B13E7F" w:rsidP="00454972">
            <w:r>
              <w:t>Na+</w:t>
            </w:r>
          </w:p>
        </w:tc>
        <w:tc>
          <w:tcPr>
            <w:tcW w:w="2322" w:type="dxa"/>
          </w:tcPr>
          <w:p w:rsidR="00B13E7F" w:rsidRDefault="00B13E7F" w:rsidP="00454972">
            <w:r>
              <w:t>Brzo se aktivira depolarizacijom membrane</w:t>
            </w:r>
          </w:p>
        </w:tc>
        <w:tc>
          <w:tcPr>
            <w:tcW w:w="2322" w:type="dxa"/>
          </w:tcPr>
          <w:p w:rsidR="00B13E7F" w:rsidRDefault="00B13E7F" w:rsidP="00454972">
            <w:r>
              <w:t>Stvara uzlaznu fazu akcijskog potencijala</w:t>
            </w:r>
          </w:p>
        </w:tc>
      </w:tr>
      <w:tr w:rsidR="00B13E7F" w:rsidTr="00B13E7F">
        <w:tc>
          <w:tcPr>
            <w:tcW w:w="2322" w:type="dxa"/>
          </w:tcPr>
          <w:p w:rsidR="00B13E7F" w:rsidRDefault="00B13E7F" w:rsidP="00454972">
            <w:r>
              <w:t>Naponski reguliran Ca2+ kanal</w:t>
            </w:r>
          </w:p>
        </w:tc>
        <w:tc>
          <w:tcPr>
            <w:tcW w:w="2322" w:type="dxa"/>
          </w:tcPr>
          <w:p w:rsidR="00B13E7F" w:rsidRDefault="00B13E7F" w:rsidP="00454972">
            <w:r>
              <w:t>Ca2+</w:t>
            </w:r>
          </w:p>
        </w:tc>
        <w:tc>
          <w:tcPr>
            <w:tcW w:w="2322" w:type="dxa"/>
          </w:tcPr>
          <w:p w:rsidR="00B13E7F" w:rsidRDefault="00B13E7F" w:rsidP="00454972">
            <w:r>
              <w:t>Aktivira se depolarizacijom membrane, sporije nego Na+</w:t>
            </w:r>
          </w:p>
        </w:tc>
        <w:tc>
          <w:tcPr>
            <w:tcW w:w="2322" w:type="dxa"/>
          </w:tcPr>
          <w:p w:rsidR="00B13E7F" w:rsidRDefault="00B13E7F" w:rsidP="00B13E7F">
            <w:r>
              <w:t>Odgovoran za sporu depolarizaciju , može djelovati kao iniciator u stanici</w:t>
            </w:r>
          </w:p>
        </w:tc>
      </w:tr>
      <w:tr w:rsidR="00B13E7F" w:rsidTr="00B13E7F">
        <w:tc>
          <w:tcPr>
            <w:tcW w:w="2322" w:type="dxa"/>
          </w:tcPr>
          <w:p w:rsidR="00B13E7F" w:rsidRDefault="00B13E7F" w:rsidP="00454972">
            <w:r>
              <w:t>Naponski reguliran K+ kanal</w:t>
            </w:r>
          </w:p>
        </w:tc>
        <w:tc>
          <w:tcPr>
            <w:tcW w:w="2322" w:type="dxa"/>
          </w:tcPr>
          <w:p w:rsidR="00B13E7F" w:rsidRDefault="00B13E7F" w:rsidP="00454972">
            <w:r>
              <w:t>K+</w:t>
            </w:r>
          </w:p>
        </w:tc>
        <w:tc>
          <w:tcPr>
            <w:tcW w:w="2322" w:type="dxa"/>
          </w:tcPr>
          <w:p w:rsidR="00B13E7F" w:rsidRDefault="00B13E7F" w:rsidP="00454972">
            <w:r>
              <w:t>Aktivira se depolarizacijom membrane, sporije nego Na+</w:t>
            </w:r>
          </w:p>
        </w:tc>
        <w:tc>
          <w:tcPr>
            <w:tcW w:w="2322" w:type="dxa"/>
          </w:tcPr>
          <w:p w:rsidR="00B13E7F" w:rsidRDefault="00B13E7F" w:rsidP="00454972">
            <w:r>
              <w:t>Odgovoran za repolarizaciju stanice</w:t>
            </w:r>
          </w:p>
        </w:tc>
      </w:tr>
      <w:tr w:rsidR="00B13E7F" w:rsidTr="00B13E7F">
        <w:tc>
          <w:tcPr>
            <w:tcW w:w="2322" w:type="dxa"/>
            <w:tcBorders>
              <w:bottom w:val="single" w:sz="4" w:space="0" w:color="auto"/>
            </w:tcBorders>
          </w:tcPr>
          <w:p w:rsidR="00B13E7F" w:rsidRDefault="00B13E7F" w:rsidP="00454972">
            <w:r>
              <w:t>Ca2+ ovisan K+ kanal</w:t>
            </w:r>
          </w:p>
        </w:tc>
        <w:tc>
          <w:tcPr>
            <w:tcW w:w="2322" w:type="dxa"/>
          </w:tcPr>
          <w:p w:rsidR="00B13E7F" w:rsidRDefault="00B13E7F" w:rsidP="00454972">
            <w:r>
              <w:t>K+</w:t>
            </w:r>
          </w:p>
        </w:tc>
        <w:tc>
          <w:tcPr>
            <w:tcW w:w="2322" w:type="dxa"/>
          </w:tcPr>
          <w:p w:rsidR="00B13E7F" w:rsidRDefault="00B13E7F" w:rsidP="00454972">
            <w:r>
              <w:t>Aktivira se depolarizacijom membrane uz visoku koncentraciju Ca+</w:t>
            </w:r>
          </w:p>
        </w:tc>
        <w:tc>
          <w:tcPr>
            <w:tcW w:w="2322" w:type="dxa"/>
          </w:tcPr>
          <w:p w:rsidR="00B13E7F" w:rsidRDefault="00B13E7F" w:rsidP="00454972">
            <w:r>
              <w:t>Kontrola akcijskog potencijala</w:t>
            </w:r>
          </w:p>
        </w:tc>
      </w:tr>
      <w:tr w:rsidR="00B13E7F" w:rsidTr="00B13E7F">
        <w:trPr>
          <w:trHeight w:val="70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E7F" w:rsidRDefault="00B13E7F" w:rsidP="00454972"/>
        </w:tc>
        <w:tc>
          <w:tcPr>
            <w:tcW w:w="2322" w:type="dxa"/>
            <w:tcBorders>
              <w:left w:val="single" w:sz="4" w:space="0" w:color="auto"/>
            </w:tcBorders>
          </w:tcPr>
          <w:p w:rsidR="00B13E7F" w:rsidRDefault="00B13E7F" w:rsidP="00454972"/>
        </w:tc>
        <w:tc>
          <w:tcPr>
            <w:tcW w:w="2322" w:type="dxa"/>
          </w:tcPr>
          <w:p w:rsidR="00B13E7F" w:rsidRDefault="00B13E7F" w:rsidP="00454972"/>
        </w:tc>
        <w:tc>
          <w:tcPr>
            <w:tcW w:w="2322" w:type="dxa"/>
          </w:tcPr>
          <w:p w:rsidR="00B13E7F" w:rsidRDefault="00B13E7F" w:rsidP="00454972"/>
        </w:tc>
      </w:tr>
    </w:tbl>
    <w:p w:rsidR="00454972" w:rsidRDefault="00454972" w:rsidP="00454972"/>
    <w:p w:rsidR="003034EB" w:rsidRDefault="003034EB" w:rsidP="003034EB">
      <w:pPr>
        <w:pStyle w:val="Default"/>
      </w:pPr>
    </w:p>
    <w:p w:rsidR="003034EB" w:rsidRPr="003034EB" w:rsidRDefault="003034EB" w:rsidP="003034E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3034EB">
        <w:rPr>
          <w:rFonts w:asciiTheme="minorHAnsi" w:hAnsiTheme="minorHAnsi" w:cstheme="minorHAnsi"/>
          <w:sz w:val="22"/>
          <w:szCs w:val="22"/>
          <w:u w:val="single"/>
        </w:rPr>
        <w:t>Elektrokemijski potencijal</w:t>
      </w:r>
      <w:r w:rsidRPr="003034E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034EB">
        <w:rPr>
          <w:rFonts w:asciiTheme="minorHAnsi" w:hAnsiTheme="minorHAnsi" w:cstheme="minorHAnsi"/>
          <w:sz w:val="22"/>
          <w:szCs w:val="22"/>
        </w:rPr>
        <w:t>–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034EB">
        <w:rPr>
          <w:rFonts w:asciiTheme="minorHAnsi" w:hAnsiTheme="minorHAnsi" w:cstheme="minorHAnsi"/>
          <w:sz w:val="22"/>
          <w:szCs w:val="22"/>
        </w:rPr>
        <w:t>ovisi o koncentraciji iona na obje strane membrane i o selektivnoj propusnosti membrane</w:t>
      </w:r>
      <w:r w:rsidR="00706AF2">
        <w:rPr>
          <w:rFonts w:asciiTheme="minorHAnsi" w:hAnsiTheme="minorHAnsi" w:cstheme="minorHAnsi"/>
          <w:sz w:val="22"/>
          <w:szCs w:val="22"/>
        </w:rPr>
        <w:t>.</w:t>
      </w:r>
    </w:p>
    <w:p w:rsidR="003034EB" w:rsidRDefault="003034EB" w:rsidP="003034EB">
      <w:pPr>
        <w:pStyle w:val="NoSpacing"/>
      </w:pPr>
      <w:r w:rsidRPr="00706AF2">
        <w:rPr>
          <w:b/>
          <w:u w:val="single"/>
        </w:rPr>
        <w:t>Potencijal mirovanja</w:t>
      </w:r>
      <w:r>
        <w:t xml:space="preserve"> – 20-100 mV (90mV za većinu stanica)</w:t>
      </w:r>
    </w:p>
    <w:p w:rsidR="003034EB" w:rsidRPr="003034EB" w:rsidRDefault="003034EB" w:rsidP="003034EB">
      <w:pPr>
        <w:pStyle w:val="Defaul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3034EB">
        <w:rPr>
          <w:rFonts w:asciiTheme="minorHAnsi" w:hAnsiTheme="minorHAnsi" w:cstheme="minorHAnsi"/>
          <w:sz w:val="22"/>
          <w:szCs w:val="22"/>
        </w:rPr>
        <w:t>visi uglavnom o elektrokemijskom potencijalu K+</w:t>
      </w:r>
    </w:p>
    <w:p w:rsidR="003034EB" w:rsidRPr="003034EB" w:rsidRDefault="003034EB" w:rsidP="003034EB">
      <w:pPr>
        <w:pStyle w:val="Defaul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3034EB">
        <w:rPr>
          <w:rFonts w:asciiTheme="minorHAnsi" w:hAnsiTheme="minorHAnsi" w:cstheme="minorHAnsi"/>
          <w:sz w:val="22"/>
          <w:szCs w:val="22"/>
        </w:rPr>
        <w:t>Tek par mV direktno zbog elektrogenosti Na+/K+pumpe</w:t>
      </w:r>
    </w:p>
    <w:p w:rsidR="003034EB" w:rsidRPr="003034EB" w:rsidRDefault="003034EB" w:rsidP="003034EB">
      <w:pPr>
        <w:pStyle w:val="Defaul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034EB">
        <w:rPr>
          <w:rFonts w:asciiTheme="minorHAnsi" w:hAnsiTheme="minorHAnsi" w:cstheme="minorHAnsi"/>
          <w:sz w:val="22"/>
          <w:szCs w:val="22"/>
        </w:rPr>
        <w:t>Na+/K+pumpa odgovorna za asimetričnu raspodjelu iona i time indirektno pridonosi membranskom potencijalu mirovanja</w:t>
      </w:r>
    </w:p>
    <w:p w:rsidR="003034EB" w:rsidRPr="003034EB" w:rsidRDefault="003034EB" w:rsidP="003034EB">
      <w:pPr>
        <w:pStyle w:val="Defaul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3034EB">
        <w:rPr>
          <w:rFonts w:asciiTheme="minorHAnsi" w:hAnsiTheme="minorHAnsi" w:cstheme="minorHAnsi"/>
          <w:sz w:val="22"/>
          <w:szCs w:val="22"/>
        </w:rPr>
        <w:t>Osnova za akcijski potencijal</w:t>
      </w:r>
    </w:p>
    <w:p w:rsidR="003034EB" w:rsidRPr="003034EB" w:rsidRDefault="003034EB" w:rsidP="003034EB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3034EB" w:rsidRPr="003034EB" w:rsidRDefault="003034EB" w:rsidP="003034EB">
      <w:pPr>
        <w:pStyle w:val="Defaul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06AF2">
        <w:rPr>
          <w:rFonts w:asciiTheme="minorHAnsi" w:hAnsiTheme="minorHAnsi" w:cstheme="minorHAnsi"/>
          <w:b/>
          <w:bCs/>
          <w:sz w:val="22"/>
          <w:szCs w:val="22"/>
          <w:u w:val="single"/>
        </w:rPr>
        <w:t>Akcijski potencijal</w:t>
      </w:r>
      <w:r w:rsidRPr="003034E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034EB">
        <w:rPr>
          <w:rFonts w:asciiTheme="minorHAnsi" w:hAnsiTheme="minorHAnsi" w:cstheme="minorHAnsi"/>
          <w:bCs/>
          <w:sz w:val="22"/>
          <w:szCs w:val="22"/>
        </w:rPr>
        <w:sym w:font="Wingdings" w:char="F0E0"/>
      </w:r>
      <w:r w:rsidRPr="003034EB">
        <w:rPr>
          <w:rFonts w:asciiTheme="minorHAnsi" w:hAnsiTheme="minorHAnsi" w:cstheme="minorHAnsi"/>
          <w:bCs/>
          <w:sz w:val="22"/>
          <w:szCs w:val="22"/>
        </w:rPr>
        <w:t xml:space="preserve"> brze pormjene membranskog potencijala koje se prenose duž </w:t>
      </w:r>
      <w:r>
        <w:rPr>
          <w:rFonts w:asciiTheme="minorHAnsi" w:hAnsiTheme="minorHAnsi" w:cstheme="minorHAnsi"/>
          <w:bCs/>
          <w:sz w:val="22"/>
          <w:szCs w:val="22"/>
        </w:rPr>
        <w:t>živčanog vlakna dok ne dođu do njegovog kraja bez opadanja intenziteta signala</w:t>
      </w:r>
      <w:r w:rsidRPr="003034EB">
        <w:rPr>
          <w:rFonts w:asciiTheme="minorHAnsi" w:hAnsiTheme="minorHAnsi" w:cstheme="minorHAnsi"/>
          <w:bCs/>
          <w:sz w:val="22"/>
          <w:szCs w:val="22"/>
        </w:rPr>
        <w:t>.</w:t>
      </w:r>
      <w:r>
        <w:rPr>
          <w:rFonts w:asciiTheme="minorHAnsi" w:hAnsiTheme="minorHAnsi" w:cstheme="minorHAnsi"/>
          <w:bCs/>
          <w:sz w:val="22"/>
          <w:szCs w:val="22"/>
        </w:rPr>
        <w:t xml:space="preserve"> (</w:t>
      </w:r>
      <w:r>
        <w:rPr>
          <w:rFonts w:asciiTheme="minorHAnsi" w:hAnsiTheme="minorHAnsi" w:cstheme="minorHAnsi"/>
          <w:sz w:val="22"/>
          <w:szCs w:val="22"/>
        </w:rPr>
        <w:t>za i</w:t>
      </w:r>
      <w:r w:rsidRPr="003034EB">
        <w:rPr>
          <w:rFonts w:asciiTheme="minorHAnsi" w:hAnsiTheme="minorHAnsi" w:cstheme="minorHAnsi"/>
          <w:sz w:val="22"/>
          <w:szCs w:val="22"/>
        </w:rPr>
        <w:t>ndirektn</w:t>
      </w:r>
      <w:r>
        <w:rPr>
          <w:rFonts w:asciiTheme="minorHAnsi" w:hAnsiTheme="minorHAnsi" w:cstheme="minorHAnsi"/>
          <w:sz w:val="22"/>
          <w:szCs w:val="22"/>
        </w:rPr>
        <w:t>uo</w:t>
      </w:r>
      <w:r w:rsidRPr="003034EB">
        <w:rPr>
          <w:rFonts w:asciiTheme="minorHAnsi" w:hAnsiTheme="minorHAnsi" w:cstheme="minorHAnsi"/>
          <w:sz w:val="22"/>
          <w:szCs w:val="22"/>
        </w:rPr>
        <w:t xml:space="preserve"> komunikaciju među stanicama</w:t>
      </w:r>
      <w:r>
        <w:rPr>
          <w:rFonts w:asciiTheme="minorHAnsi" w:hAnsiTheme="minorHAnsi" w:cstheme="minorHAnsi"/>
          <w:bCs/>
          <w:sz w:val="22"/>
          <w:szCs w:val="22"/>
        </w:rPr>
        <w:t xml:space="preserve">; 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3034EB">
        <w:rPr>
          <w:rFonts w:asciiTheme="minorHAnsi" w:hAnsiTheme="minorHAnsi" w:cstheme="minorHAnsi"/>
          <w:sz w:val="22"/>
          <w:szCs w:val="22"/>
        </w:rPr>
        <w:t>snova osjeta, memorije, misli i djelovanja</w:t>
      </w:r>
      <w:r>
        <w:rPr>
          <w:rFonts w:asciiTheme="minorHAnsi" w:hAnsiTheme="minorHAnsi" w:cstheme="minorHAnsi"/>
          <w:sz w:val="22"/>
          <w:szCs w:val="22"/>
        </w:rPr>
        <w:t>)</w:t>
      </w:r>
    </w:p>
    <w:p w:rsidR="003034EB" w:rsidRPr="003034EB" w:rsidRDefault="003034EB" w:rsidP="003034EB">
      <w:pPr>
        <w:pStyle w:val="Default"/>
        <w:rPr>
          <w:rFonts w:asciiTheme="minorHAnsi" w:hAnsiTheme="minorHAnsi" w:cstheme="minorHAnsi"/>
          <w:sz w:val="22"/>
          <w:szCs w:val="22"/>
          <w:u w:val="single"/>
        </w:rPr>
      </w:pPr>
      <w:r w:rsidRPr="003034EB">
        <w:rPr>
          <w:rFonts w:asciiTheme="minorHAnsi" w:hAnsiTheme="minorHAnsi" w:cstheme="minorHAnsi"/>
          <w:sz w:val="22"/>
          <w:szCs w:val="22"/>
          <w:u w:val="single"/>
        </w:rPr>
        <w:t>Uvjet za postojanje AP -aktivni transport iona:</w:t>
      </w:r>
    </w:p>
    <w:p w:rsidR="003034EB" w:rsidRPr="003034EB" w:rsidRDefault="003034EB" w:rsidP="003034E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3034EB">
        <w:rPr>
          <w:rFonts w:asciiTheme="minorHAnsi" w:hAnsiTheme="minorHAnsi" w:cstheme="minorHAnsi"/>
          <w:sz w:val="22"/>
          <w:szCs w:val="22"/>
        </w:rPr>
        <w:t>-nejednaka distribucija iona</w:t>
      </w:r>
    </w:p>
    <w:p w:rsidR="003034EB" w:rsidRDefault="003034EB" w:rsidP="003034E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3034EB">
        <w:rPr>
          <w:rFonts w:asciiTheme="minorHAnsi" w:hAnsiTheme="minorHAnsi" w:cstheme="minorHAnsi"/>
          <w:sz w:val="22"/>
          <w:szCs w:val="22"/>
        </w:rPr>
        <w:t>-elektrokemijski gradijent</w:t>
      </w:r>
    </w:p>
    <w:p w:rsidR="003034EB" w:rsidRPr="00706AF2" w:rsidRDefault="003034EB" w:rsidP="003034EB">
      <w:pPr>
        <w:pStyle w:val="Default"/>
        <w:rPr>
          <w:rFonts w:asciiTheme="minorHAnsi" w:hAnsiTheme="minorHAnsi" w:cstheme="minorHAnsi"/>
          <w:sz w:val="22"/>
          <w:szCs w:val="22"/>
          <w:u w:val="single"/>
        </w:rPr>
      </w:pPr>
      <w:r w:rsidRPr="00706AF2">
        <w:rPr>
          <w:rFonts w:asciiTheme="minorHAnsi" w:hAnsiTheme="minorHAnsi" w:cstheme="minorHAnsi"/>
          <w:sz w:val="22"/>
          <w:szCs w:val="22"/>
          <w:u w:val="single"/>
        </w:rPr>
        <w:t>Uzastopne faze akcijskog potencijala:</w:t>
      </w:r>
    </w:p>
    <w:p w:rsidR="003034EB" w:rsidRDefault="003034EB" w:rsidP="003034E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1.Faza mirovanja – membrana je polarizirana (postoji vrlo velik negativni membranski potencijal)</w:t>
      </w:r>
    </w:p>
    <w:p w:rsidR="003034EB" w:rsidRDefault="003034EB" w:rsidP="003034E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2.Faza depolarizacije – membrana postaje propusna za natrijeve ione, te oni ulaze u akson; potencijal se naglo povećava prema pozitivnom smjeru.</w:t>
      </w:r>
    </w:p>
    <w:p w:rsidR="003034EB" w:rsidRDefault="003034EB" w:rsidP="003034E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3.Faza repolarizacije – natrijski kanali se počinju zatvarati, a kalijski kanali se otvore više nego inače, te brza difuzija kalijevih iona prema van ponovno uspostavlja negativan potencijal membrane u mirovanju.</w:t>
      </w:r>
    </w:p>
    <w:p w:rsidR="00B8014E" w:rsidRPr="00454972" w:rsidRDefault="00B8014E" w:rsidP="00706AF2"/>
    <w:sectPr w:rsidR="00B8014E" w:rsidRPr="00454972" w:rsidSect="00AE4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8F9DBD"/>
    <w:multiLevelType w:val="hybridMultilevel"/>
    <w:tmpl w:val="DD2B85F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372D2F"/>
    <w:multiLevelType w:val="hybridMultilevel"/>
    <w:tmpl w:val="34D895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E4D08"/>
    <w:multiLevelType w:val="hybridMultilevel"/>
    <w:tmpl w:val="D03AC4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C2074"/>
    <w:multiLevelType w:val="hybridMultilevel"/>
    <w:tmpl w:val="534051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D3D42"/>
    <w:multiLevelType w:val="hybridMultilevel"/>
    <w:tmpl w:val="753E6B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147AA"/>
    <w:multiLevelType w:val="hybridMultilevel"/>
    <w:tmpl w:val="F73ECC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54611"/>
    <w:multiLevelType w:val="hybridMultilevel"/>
    <w:tmpl w:val="98AED2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5A20CF"/>
    <w:multiLevelType w:val="hybridMultilevel"/>
    <w:tmpl w:val="B1D23E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3424F3"/>
    <w:multiLevelType w:val="hybridMultilevel"/>
    <w:tmpl w:val="9482CA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E1D75"/>
    <w:multiLevelType w:val="hybridMultilevel"/>
    <w:tmpl w:val="06146B5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B2291"/>
    <w:multiLevelType w:val="hybridMultilevel"/>
    <w:tmpl w:val="937A14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052F8"/>
    <w:multiLevelType w:val="hybridMultilevel"/>
    <w:tmpl w:val="8398C5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D14CD7"/>
    <w:multiLevelType w:val="hybridMultilevel"/>
    <w:tmpl w:val="44D636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2855BD"/>
    <w:multiLevelType w:val="hybridMultilevel"/>
    <w:tmpl w:val="00A407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3001A1"/>
    <w:multiLevelType w:val="hybridMultilevel"/>
    <w:tmpl w:val="372CEB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D1384"/>
    <w:multiLevelType w:val="hybridMultilevel"/>
    <w:tmpl w:val="8390ADBC"/>
    <w:lvl w:ilvl="0" w:tplc="C4B61A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3D29F0"/>
    <w:multiLevelType w:val="hybridMultilevel"/>
    <w:tmpl w:val="335A57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01048"/>
    <w:multiLevelType w:val="hybridMultilevel"/>
    <w:tmpl w:val="AC20EB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E0F34"/>
    <w:multiLevelType w:val="hybridMultilevel"/>
    <w:tmpl w:val="EB083E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25D2B"/>
    <w:multiLevelType w:val="hybridMultilevel"/>
    <w:tmpl w:val="AA88B8F8"/>
    <w:lvl w:ilvl="0" w:tplc="69BA93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A30182"/>
    <w:multiLevelType w:val="hybridMultilevel"/>
    <w:tmpl w:val="1B2CD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5"/>
  </w:num>
  <w:num w:numId="5">
    <w:abstractNumId w:val="9"/>
  </w:num>
  <w:num w:numId="6">
    <w:abstractNumId w:val="6"/>
  </w:num>
  <w:num w:numId="7">
    <w:abstractNumId w:val="2"/>
  </w:num>
  <w:num w:numId="8">
    <w:abstractNumId w:val="11"/>
  </w:num>
  <w:num w:numId="9">
    <w:abstractNumId w:val="8"/>
  </w:num>
  <w:num w:numId="10">
    <w:abstractNumId w:val="10"/>
  </w:num>
  <w:num w:numId="11">
    <w:abstractNumId w:val="7"/>
  </w:num>
  <w:num w:numId="12">
    <w:abstractNumId w:val="1"/>
  </w:num>
  <w:num w:numId="13">
    <w:abstractNumId w:val="16"/>
  </w:num>
  <w:num w:numId="14">
    <w:abstractNumId w:val="4"/>
  </w:num>
  <w:num w:numId="15">
    <w:abstractNumId w:val="17"/>
  </w:num>
  <w:num w:numId="16">
    <w:abstractNumId w:val="13"/>
  </w:num>
  <w:num w:numId="17">
    <w:abstractNumId w:val="18"/>
  </w:num>
  <w:num w:numId="18">
    <w:abstractNumId w:val="20"/>
  </w:num>
  <w:num w:numId="19">
    <w:abstractNumId w:val="12"/>
  </w:num>
  <w:num w:numId="20">
    <w:abstractNumId w:val="14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2F46"/>
    <w:rsid w:val="00083168"/>
    <w:rsid w:val="000B18EE"/>
    <w:rsid w:val="001441C2"/>
    <w:rsid w:val="001C2C3E"/>
    <w:rsid w:val="00205496"/>
    <w:rsid w:val="00253B3D"/>
    <w:rsid w:val="003034EB"/>
    <w:rsid w:val="00313BB1"/>
    <w:rsid w:val="00343572"/>
    <w:rsid w:val="00454972"/>
    <w:rsid w:val="004D04BF"/>
    <w:rsid w:val="00696480"/>
    <w:rsid w:val="00706AF2"/>
    <w:rsid w:val="0075301E"/>
    <w:rsid w:val="007B0FBB"/>
    <w:rsid w:val="007D48F2"/>
    <w:rsid w:val="00825469"/>
    <w:rsid w:val="00862F46"/>
    <w:rsid w:val="008A7ABA"/>
    <w:rsid w:val="008F1760"/>
    <w:rsid w:val="00963700"/>
    <w:rsid w:val="009C2E9A"/>
    <w:rsid w:val="00A5421F"/>
    <w:rsid w:val="00A85AD9"/>
    <w:rsid w:val="00AA4279"/>
    <w:rsid w:val="00AD1CE5"/>
    <w:rsid w:val="00AE357D"/>
    <w:rsid w:val="00AE46E5"/>
    <w:rsid w:val="00AF3365"/>
    <w:rsid w:val="00B13E7F"/>
    <w:rsid w:val="00B275CA"/>
    <w:rsid w:val="00B8014E"/>
    <w:rsid w:val="00CA3CA9"/>
    <w:rsid w:val="00D768CE"/>
    <w:rsid w:val="00DC68F2"/>
    <w:rsid w:val="00DD7B75"/>
    <w:rsid w:val="00ED3833"/>
    <w:rsid w:val="00F81C01"/>
    <w:rsid w:val="00FE5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2F4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5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3B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A3CA9"/>
    <w:rPr>
      <w:color w:val="808080"/>
    </w:rPr>
  </w:style>
  <w:style w:type="paragraph" w:customStyle="1" w:styleId="Default">
    <w:name w:val="Default"/>
    <w:rsid w:val="000B1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2267E57-3841-4802-BBDB-B7C3DF97F8D8}" type="doc">
      <dgm:prSet loTypeId="urn:microsoft.com/office/officeart/2005/8/layout/cycle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hr-HR"/>
        </a:p>
      </dgm:t>
    </dgm:pt>
    <dgm:pt modelId="{143EAE0B-E08B-4F0F-8EF7-3A1DF3479DFA}">
      <dgm:prSet phldrT="[Text]"/>
      <dgm:spPr/>
      <dgm:t>
        <a:bodyPr/>
        <a:lstStyle/>
        <a:p>
          <a:r>
            <a:rPr lang="hr-HR"/>
            <a:t>Organski sustavi održavaju homeostazu</a:t>
          </a:r>
        </a:p>
      </dgm:t>
    </dgm:pt>
    <dgm:pt modelId="{2BAFBF4D-245E-436C-BE0B-C88FCD65D5CC}" type="parTrans" cxnId="{77E0158E-4253-42A6-91FD-58CC6F547FB9}">
      <dgm:prSet/>
      <dgm:spPr/>
      <dgm:t>
        <a:bodyPr/>
        <a:lstStyle/>
        <a:p>
          <a:endParaRPr lang="hr-HR"/>
        </a:p>
      </dgm:t>
    </dgm:pt>
    <dgm:pt modelId="{DAE56782-4E5A-4C03-9377-AE775CE5EDAD}" type="sibTrans" cxnId="{77E0158E-4253-42A6-91FD-58CC6F547FB9}">
      <dgm:prSet/>
      <dgm:spPr/>
      <dgm:t>
        <a:bodyPr/>
        <a:lstStyle/>
        <a:p>
          <a:endParaRPr lang="hr-HR"/>
        </a:p>
      </dgm:t>
    </dgm:pt>
    <dgm:pt modelId="{B25FA201-62EF-4A05-AB09-B5A6255BD847}">
      <dgm:prSet phldrT="[Text]"/>
      <dgm:spPr/>
      <dgm:t>
        <a:bodyPr/>
        <a:lstStyle/>
        <a:p>
          <a:r>
            <a:rPr lang="hr-HR"/>
            <a:t>Koja je neophodna za održavanje stanica</a:t>
          </a:r>
        </a:p>
      </dgm:t>
    </dgm:pt>
    <dgm:pt modelId="{859EABF1-DC24-4E6F-A9A6-C393C0E80139}" type="parTrans" cxnId="{B255293A-D597-480F-81B6-A0940D134CE7}">
      <dgm:prSet/>
      <dgm:spPr/>
      <dgm:t>
        <a:bodyPr/>
        <a:lstStyle/>
        <a:p>
          <a:endParaRPr lang="hr-HR"/>
        </a:p>
      </dgm:t>
    </dgm:pt>
    <dgm:pt modelId="{BDB3BE4D-3BDA-484C-A0B0-F89CB1599FE0}" type="sibTrans" cxnId="{B255293A-D597-480F-81B6-A0940D134CE7}">
      <dgm:prSet/>
      <dgm:spPr/>
      <dgm:t>
        <a:bodyPr/>
        <a:lstStyle/>
        <a:p>
          <a:endParaRPr lang="hr-HR"/>
        </a:p>
      </dgm:t>
    </dgm:pt>
    <dgm:pt modelId="{0AE05CA6-317C-478A-88DE-922FC6A610FB}">
      <dgm:prSet phldrT="[Text]"/>
      <dgm:spPr/>
      <dgm:t>
        <a:bodyPr/>
        <a:lstStyle/>
        <a:p>
          <a:r>
            <a:rPr lang="hr-HR"/>
            <a:t>Koje grade organske sustave</a:t>
          </a:r>
        </a:p>
      </dgm:t>
    </dgm:pt>
    <dgm:pt modelId="{44EB5D01-627E-4EC1-9983-31A1BCA85AAA}" type="parTrans" cxnId="{BA3D5C54-5C9A-49C3-B766-14075E4EFDC4}">
      <dgm:prSet/>
      <dgm:spPr/>
      <dgm:t>
        <a:bodyPr/>
        <a:lstStyle/>
        <a:p>
          <a:endParaRPr lang="hr-HR"/>
        </a:p>
      </dgm:t>
    </dgm:pt>
    <dgm:pt modelId="{A633A442-B5B4-467A-8B1B-55587C092A62}" type="sibTrans" cxnId="{BA3D5C54-5C9A-49C3-B766-14075E4EFDC4}">
      <dgm:prSet/>
      <dgm:spPr/>
      <dgm:t>
        <a:bodyPr/>
        <a:lstStyle/>
        <a:p>
          <a:endParaRPr lang="hr-HR"/>
        </a:p>
      </dgm:t>
    </dgm:pt>
    <dgm:pt modelId="{E5516937-6742-409A-AD5C-D472985B4459}" type="pres">
      <dgm:prSet presAssocID="{B2267E57-3841-4802-BBDB-B7C3DF97F8D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hr-HR"/>
        </a:p>
      </dgm:t>
    </dgm:pt>
    <dgm:pt modelId="{2614ACF9-FBC9-467E-B0B7-59C1343E5AB7}" type="pres">
      <dgm:prSet presAssocID="{143EAE0B-E08B-4F0F-8EF7-3A1DF3479DFA}" presName="dummy" presStyleCnt="0"/>
      <dgm:spPr/>
    </dgm:pt>
    <dgm:pt modelId="{CBA024ED-4B27-44FF-BB30-DDB0F09C70D0}" type="pres">
      <dgm:prSet presAssocID="{143EAE0B-E08B-4F0F-8EF7-3A1DF3479DFA}" presName="node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hr-HR"/>
        </a:p>
      </dgm:t>
    </dgm:pt>
    <dgm:pt modelId="{E45C6250-D400-4573-9965-C3DFBC92E827}" type="pres">
      <dgm:prSet presAssocID="{DAE56782-4E5A-4C03-9377-AE775CE5EDAD}" presName="sibTrans" presStyleLbl="node1" presStyleIdx="0" presStyleCnt="3"/>
      <dgm:spPr/>
      <dgm:t>
        <a:bodyPr/>
        <a:lstStyle/>
        <a:p>
          <a:endParaRPr lang="hr-HR"/>
        </a:p>
      </dgm:t>
    </dgm:pt>
    <dgm:pt modelId="{01C1DA3B-1CF5-417E-97DF-E05F5BDCA153}" type="pres">
      <dgm:prSet presAssocID="{B25FA201-62EF-4A05-AB09-B5A6255BD847}" presName="dummy" presStyleCnt="0"/>
      <dgm:spPr/>
    </dgm:pt>
    <dgm:pt modelId="{54D4C3FA-3641-4DF4-82B5-CBC56B0E15EE}" type="pres">
      <dgm:prSet presAssocID="{B25FA201-62EF-4A05-AB09-B5A6255BD847}" presName="node" presStyleLbl="revTx" presStyleIdx="1" presStyleCnt="3" custScaleX="82082" custScaleY="59263">
        <dgm:presLayoutVars>
          <dgm:bulletEnabled val="1"/>
        </dgm:presLayoutVars>
      </dgm:prSet>
      <dgm:spPr/>
      <dgm:t>
        <a:bodyPr/>
        <a:lstStyle/>
        <a:p>
          <a:endParaRPr lang="hr-HR"/>
        </a:p>
      </dgm:t>
    </dgm:pt>
    <dgm:pt modelId="{1DAEDE0E-62DC-4819-B260-9E5504B7A65A}" type="pres">
      <dgm:prSet presAssocID="{BDB3BE4D-3BDA-484C-A0B0-F89CB1599FE0}" presName="sibTrans" presStyleLbl="node1" presStyleIdx="1" presStyleCnt="3" custLinFactNeighborX="949" custLinFactNeighborY="1565"/>
      <dgm:spPr/>
      <dgm:t>
        <a:bodyPr/>
        <a:lstStyle/>
        <a:p>
          <a:endParaRPr lang="hr-HR"/>
        </a:p>
      </dgm:t>
    </dgm:pt>
    <dgm:pt modelId="{B6FC1695-C306-458A-92E3-72DC17138AB6}" type="pres">
      <dgm:prSet presAssocID="{0AE05CA6-317C-478A-88DE-922FC6A610FB}" presName="dummy" presStyleCnt="0"/>
      <dgm:spPr/>
    </dgm:pt>
    <dgm:pt modelId="{A8CCD7CE-7B2F-4871-A10C-3F5D4C815D7B}" type="pres">
      <dgm:prSet presAssocID="{0AE05CA6-317C-478A-88DE-922FC6A610FB}" presName="node" presStyleLbl="revTx" presStyleIdx="2" presStyleCnt="3" custScaleX="70162" custScaleY="61293">
        <dgm:presLayoutVars>
          <dgm:bulletEnabled val="1"/>
        </dgm:presLayoutVars>
      </dgm:prSet>
      <dgm:spPr/>
      <dgm:t>
        <a:bodyPr/>
        <a:lstStyle/>
        <a:p>
          <a:endParaRPr lang="hr-HR"/>
        </a:p>
      </dgm:t>
    </dgm:pt>
    <dgm:pt modelId="{0EEC6A88-E607-4EE9-8D42-6189737F77FA}" type="pres">
      <dgm:prSet presAssocID="{A633A442-B5B4-467A-8B1B-55587C092A62}" presName="sibTrans" presStyleLbl="node1" presStyleIdx="2" presStyleCnt="3"/>
      <dgm:spPr/>
      <dgm:t>
        <a:bodyPr/>
        <a:lstStyle/>
        <a:p>
          <a:endParaRPr lang="hr-HR"/>
        </a:p>
      </dgm:t>
    </dgm:pt>
  </dgm:ptLst>
  <dgm:cxnLst>
    <dgm:cxn modelId="{79B5DA3F-A544-46D9-96E2-BD6CCC579669}" type="presOf" srcId="{143EAE0B-E08B-4F0F-8EF7-3A1DF3479DFA}" destId="{CBA024ED-4B27-44FF-BB30-DDB0F09C70D0}" srcOrd="0" destOrd="0" presId="urn:microsoft.com/office/officeart/2005/8/layout/cycle1"/>
    <dgm:cxn modelId="{B00B6DFB-A4EF-4EFE-8A31-EE759AF9E799}" type="presOf" srcId="{BDB3BE4D-3BDA-484C-A0B0-F89CB1599FE0}" destId="{1DAEDE0E-62DC-4819-B260-9E5504B7A65A}" srcOrd="0" destOrd="0" presId="urn:microsoft.com/office/officeart/2005/8/layout/cycle1"/>
    <dgm:cxn modelId="{B255293A-D597-480F-81B6-A0940D134CE7}" srcId="{B2267E57-3841-4802-BBDB-B7C3DF97F8D8}" destId="{B25FA201-62EF-4A05-AB09-B5A6255BD847}" srcOrd="1" destOrd="0" parTransId="{859EABF1-DC24-4E6F-A9A6-C393C0E80139}" sibTransId="{BDB3BE4D-3BDA-484C-A0B0-F89CB1599FE0}"/>
    <dgm:cxn modelId="{8B8B246F-938E-492B-9586-C38A99C131B0}" type="presOf" srcId="{0AE05CA6-317C-478A-88DE-922FC6A610FB}" destId="{A8CCD7CE-7B2F-4871-A10C-3F5D4C815D7B}" srcOrd="0" destOrd="0" presId="urn:microsoft.com/office/officeart/2005/8/layout/cycle1"/>
    <dgm:cxn modelId="{77E0158E-4253-42A6-91FD-58CC6F547FB9}" srcId="{B2267E57-3841-4802-BBDB-B7C3DF97F8D8}" destId="{143EAE0B-E08B-4F0F-8EF7-3A1DF3479DFA}" srcOrd="0" destOrd="0" parTransId="{2BAFBF4D-245E-436C-BE0B-C88FCD65D5CC}" sibTransId="{DAE56782-4E5A-4C03-9377-AE775CE5EDAD}"/>
    <dgm:cxn modelId="{6472CA5C-3767-43AE-9A28-884AB3C88990}" type="presOf" srcId="{DAE56782-4E5A-4C03-9377-AE775CE5EDAD}" destId="{E45C6250-D400-4573-9965-C3DFBC92E827}" srcOrd="0" destOrd="0" presId="urn:microsoft.com/office/officeart/2005/8/layout/cycle1"/>
    <dgm:cxn modelId="{917C227D-B7D6-4F98-A4E2-3E7DDA906177}" type="presOf" srcId="{B25FA201-62EF-4A05-AB09-B5A6255BD847}" destId="{54D4C3FA-3641-4DF4-82B5-CBC56B0E15EE}" srcOrd="0" destOrd="0" presId="urn:microsoft.com/office/officeart/2005/8/layout/cycle1"/>
    <dgm:cxn modelId="{8C80AF64-6F3A-463E-9443-161DA662123B}" type="presOf" srcId="{B2267E57-3841-4802-BBDB-B7C3DF97F8D8}" destId="{E5516937-6742-409A-AD5C-D472985B4459}" srcOrd="0" destOrd="0" presId="urn:microsoft.com/office/officeart/2005/8/layout/cycle1"/>
    <dgm:cxn modelId="{DEEE6F51-AE9A-4E58-9060-FC30FB1809ED}" type="presOf" srcId="{A633A442-B5B4-467A-8B1B-55587C092A62}" destId="{0EEC6A88-E607-4EE9-8D42-6189737F77FA}" srcOrd="0" destOrd="0" presId="urn:microsoft.com/office/officeart/2005/8/layout/cycle1"/>
    <dgm:cxn modelId="{BA3D5C54-5C9A-49C3-B766-14075E4EFDC4}" srcId="{B2267E57-3841-4802-BBDB-B7C3DF97F8D8}" destId="{0AE05CA6-317C-478A-88DE-922FC6A610FB}" srcOrd="2" destOrd="0" parTransId="{44EB5D01-627E-4EC1-9983-31A1BCA85AAA}" sibTransId="{A633A442-B5B4-467A-8B1B-55587C092A62}"/>
    <dgm:cxn modelId="{0942C714-EDF1-4DB1-8724-98E11ABA384B}" type="presParOf" srcId="{E5516937-6742-409A-AD5C-D472985B4459}" destId="{2614ACF9-FBC9-467E-B0B7-59C1343E5AB7}" srcOrd="0" destOrd="0" presId="urn:microsoft.com/office/officeart/2005/8/layout/cycle1"/>
    <dgm:cxn modelId="{9123E8D4-90C2-414E-A20E-220F7CCDB12F}" type="presParOf" srcId="{E5516937-6742-409A-AD5C-D472985B4459}" destId="{CBA024ED-4B27-44FF-BB30-DDB0F09C70D0}" srcOrd="1" destOrd="0" presId="urn:microsoft.com/office/officeart/2005/8/layout/cycle1"/>
    <dgm:cxn modelId="{B0DE11E6-07C2-4944-A103-C0E26D0301D2}" type="presParOf" srcId="{E5516937-6742-409A-AD5C-D472985B4459}" destId="{E45C6250-D400-4573-9965-C3DFBC92E827}" srcOrd="2" destOrd="0" presId="urn:microsoft.com/office/officeart/2005/8/layout/cycle1"/>
    <dgm:cxn modelId="{88EA462E-BDDE-4761-B92C-5AABFA122C98}" type="presParOf" srcId="{E5516937-6742-409A-AD5C-D472985B4459}" destId="{01C1DA3B-1CF5-417E-97DF-E05F5BDCA153}" srcOrd="3" destOrd="0" presId="urn:microsoft.com/office/officeart/2005/8/layout/cycle1"/>
    <dgm:cxn modelId="{D3D410A2-BF87-4738-9AB0-B2804F1AB8AF}" type="presParOf" srcId="{E5516937-6742-409A-AD5C-D472985B4459}" destId="{54D4C3FA-3641-4DF4-82B5-CBC56B0E15EE}" srcOrd="4" destOrd="0" presId="urn:microsoft.com/office/officeart/2005/8/layout/cycle1"/>
    <dgm:cxn modelId="{100435A8-F0F6-4A06-BCAF-6AAC8C976C04}" type="presParOf" srcId="{E5516937-6742-409A-AD5C-D472985B4459}" destId="{1DAEDE0E-62DC-4819-B260-9E5504B7A65A}" srcOrd="5" destOrd="0" presId="urn:microsoft.com/office/officeart/2005/8/layout/cycle1"/>
    <dgm:cxn modelId="{1603E18C-1EBE-4F02-9D6D-A7F6BB3074B2}" type="presParOf" srcId="{E5516937-6742-409A-AD5C-D472985B4459}" destId="{B6FC1695-C306-458A-92E3-72DC17138AB6}" srcOrd="6" destOrd="0" presId="urn:microsoft.com/office/officeart/2005/8/layout/cycle1"/>
    <dgm:cxn modelId="{1F21EC13-1FAA-4583-AE37-C58BB77D663E}" type="presParOf" srcId="{E5516937-6742-409A-AD5C-D472985B4459}" destId="{A8CCD7CE-7B2F-4871-A10C-3F5D4C815D7B}" srcOrd="7" destOrd="0" presId="urn:microsoft.com/office/officeart/2005/8/layout/cycle1"/>
    <dgm:cxn modelId="{850E5FA5-A663-4549-92B5-6298D00EE2F1}" type="presParOf" srcId="{E5516937-6742-409A-AD5C-D472985B4459}" destId="{0EEC6A88-E607-4EE9-8D42-6189737F77FA}" srcOrd="8" destOrd="0" presId="urn:microsoft.com/office/officeart/2005/8/layout/cycle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5BA11-1D57-4261-B242-9F32C350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7</Pages>
  <Words>2393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2011-02-10T13:23:00Z</dcterms:created>
  <dcterms:modified xsi:type="dcterms:W3CDTF">2011-02-11T15:05:00Z</dcterms:modified>
</cp:coreProperties>
</file>